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178FD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bidi="ar-SA"/>
        </w:rPr>
      </w:pPr>
    </w:p>
    <w:p w14:paraId="43AA7D06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bidi="ar-SA"/>
        </w:rPr>
      </w:pPr>
    </w:p>
    <w:p w14:paraId="64B49A11">
      <w:pPr>
        <w:pStyle w:val="19"/>
        <w:widowControl/>
        <w:shd w:val="clear" w:fill="FFFFFF"/>
        <w:rPr>
          <w:rFonts w:hint="eastAsia"/>
        </w:rPr>
      </w:pPr>
      <w:r>
        <w:rPr>
          <w:rFonts w:hint="eastAsia"/>
          <w:sz w:val="56"/>
          <w:szCs w:val="44"/>
        </w:rPr>
        <w:t>江苏澄擎新能源有限公司</w:t>
      </w:r>
    </w:p>
    <w:p w14:paraId="57ACBC25">
      <w:pPr>
        <w:pStyle w:val="19"/>
        <w:widowControl/>
        <w:shd w:val="clear" w:fill="FFFFFF"/>
        <w:rPr>
          <w:rFonts w:hint="eastAsia"/>
        </w:rPr>
      </w:pPr>
    </w:p>
    <w:p w14:paraId="271C079B">
      <w:pPr>
        <w:pStyle w:val="19"/>
        <w:widowControl/>
        <w:shd w:val="clear" w:fill="FFFFFF"/>
        <w:rPr>
          <w:rFonts w:hint="eastAsia"/>
        </w:rPr>
      </w:pPr>
    </w:p>
    <w:p w14:paraId="3A6BA589">
      <w:pPr>
        <w:pStyle w:val="19"/>
        <w:widowControl/>
        <w:shd w:val="clear" w:fill="FFFFFF"/>
        <w:rPr>
          <w:rFonts w:hint="eastAsia"/>
        </w:rPr>
      </w:pPr>
      <w:r>
        <w:rPr>
          <w:rFonts w:hint="eastAsia"/>
        </w:rPr>
        <w:t>社</w:t>
      </w:r>
    </w:p>
    <w:p w14:paraId="12E31567">
      <w:pPr>
        <w:pStyle w:val="19"/>
        <w:widowControl/>
        <w:shd w:val="clear" w:fill="FFFFFF"/>
        <w:rPr>
          <w:rFonts w:hint="eastAsia"/>
        </w:rPr>
      </w:pPr>
      <w:r>
        <w:rPr>
          <w:rFonts w:hint="eastAsia"/>
        </w:rPr>
        <w:t>会</w:t>
      </w:r>
    </w:p>
    <w:p w14:paraId="6A33690D">
      <w:pPr>
        <w:pStyle w:val="19"/>
        <w:widowControl/>
        <w:shd w:val="clear" w:fill="FFFFFF"/>
        <w:rPr>
          <w:rFonts w:hint="eastAsia"/>
        </w:rPr>
      </w:pPr>
      <w:r>
        <w:rPr>
          <w:rFonts w:hint="eastAsia"/>
        </w:rPr>
        <w:t>责</w:t>
      </w:r>
    </w:p>
    <w:p w14:paraId="3C3DBCA8">
      <w:pPr>
        <w:pStyle w:val="19"/>
        <w:widowControl/>
        <w:shd w:val="clear" w:fill="FFFFFF"/>
        <w:rPr>
          <w:rFonts w:hint="eastAsia"/>
        </w:rPr>
      </w:pPr>
      <w:r>
        <w:rPr>
          <w:rFonts w:hint="eastAsia"/>
        </w:rPr>
        <w:t>任</w:t>
      </w:r>
    </w:p>
    <w:p w14:paraId="3978E90F">
      <w:pPr>
        <w:pStyle w:val="19"/>
        <w:widowControl/>
        <w:shd w:val="clear" w:fill="FFFFFF"/>
        <w:rPr>
          <w:rFonts w:hint="eastAsia"/>
        </w:rPr>
      </w:pPr>
      <w:r>
        <w:rPr>
          <w:rFonts w:hint="eastAsia"/>
        </w:rPr>
        <w:t>报</w:t>
      </w:r>
    </w:p>
    <w:p w14:paraId="25873960">
      <w:pPr>
        <w:pStyle w:val="19"/>
        <w:widowControl/>
        <w:shd w:val="clear" w:fill="FFFFFF"/>
        <w:rPr>
          <w:rFonts w:hint="eastAsia"/>
        </w:rPr>
      </w:pPr>
      <w:r>
        <w:rPr>
          <w:rFonts w:hint="eastAsia"/>
        </w:rPr>
        <w:t>告</w:t>
      </w:r>
    </w:p>
    <w:p w14:paraId="0DB1520B">
      <w:pPr>
        <w:pStyle w:val="19"/>
        <w:widowControl/>
        <w:shd w:val="clear" w:fill="FFFFFF"/>
        <w:rPr>
          <w:rFonts w:hint="eastAsia"/>
        </w:rPr>
      </w:pPr>
    </w:p>
    <w:p w14:paraId="436193BD">
      <w:pPr>
        <w:pStyle w:val="19"/>
        <w:widowControl/>
        <w:shd w:val="clear" w:fill="FFFFFF"/>
        <w:rPr>
          <w:rFonts w:hint="eastAsia"/>
        </w:rPr>
      </w:pPr>
    </w:p>
    <w:p w14:paraId="38E760EC">
      <w:pPr>
        <w:pStyle w:val="19"/>
        <w:widowControl/>
        <w:shd w:val="clear" w:fill="FFFFFF"/>
        <w:rPr>
          <w:rFonts w:hint="eastAsia"/>
        </w:rPr>
      </w:pPr>
      <w:r>
        <w:rPr>
          <w:rFonts w:hint="eastAsia"/>
        </w:rPr>
        <w:t>报告期间：2025年1月1日—2025年12月31日</w:t>
      </w:r>
    </w:p>
    <w:p w14:paraId="60801FA2">
      <w:pPr>
        <w:pStyle w:val="19"/>
        <w:widowControl/>
        <w:shd w:val="clear" w:fill="FFFFFF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报告日期：2026.4.20</w:t>
      </w:r>
    </w:p>
    <w:p w14:paraId="1C7B70C5">
      <w:pPr>
        <w:pStyle w:val="19"/>
        <w:widowControl/>
        <w:shd w:val="clear" w:fill="FFFFFF"/>
      </w:pPr>
    </w:p>
    <w:p w14:paraId="483ECC10">
      <w:pPr>
        <w:pStyle w:val="19"/>
        <w:widowControl/>
        <w:shd w:val="clear" w:fill="FFFFFF"/>
      </w:pPr>
    </w:p>
    <w:p w14:paraId="5C746503">
      <w:pPr>
        <w:pStyle w:val="19"/>
        <w:widowControl/>
        <w:shd w:val="clear" w:fill="FFFFFF"/>
      </w:pPr>
    </w:p>
    <w:p w14:paraId="646AA300">
      <w:pPr>
        <w:pStyle w:val="19"/>
        <w:widowControl/>
        <w:shd w:val="clear" w:fill="FFFFFF"/>
      </w:pPr>
    </w:p>
    <w:sdt>
      <w:sdtPr>
        <w:rPr>
          <w:rFonts w:ascii="宋体" w:hAnsi="宋体" w:eastAsia="宋体" w:cstheme="minorBidi"/>
          <w:kern w:val="2"/>
          <w:sz w:val="21"/>
          <w:lang w:val="en-US" w:eastAsia="zh-CN" w:bidi="ar-SA"/>
        </w:rPr>
        <w:id w:val="147472895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sdtEndPr>
      <w:sdtContent>
        <w:p w14:paraId="6DA4E23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6A8F678A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_Toc16572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一、 </w:t>
          </w:r>
          <w:r>
            <w:t>关于本报告</w:t>
          </w:r>
          <w:r>
            <w:tab/>
          </w:r>
          <w:r>
            <w:fldChar w:fldCharType="begin"/>
          </w:r>
          <w:r>
            <w:instrText xml:space="preserve"> PAGEREF _Toc16572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2F26DBF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_Toc6115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1.1 </w:t>
          </w:r>
          <w:r>
            <w:t>报告概述</w:t>
          </w:r>
          <w:r>
            <w:tab/>
          </w:r>
          <w:r>
            <w:fldChar w:fldCharType="begin"/>
          </w:r>
          <w:r>
            <w:instrText xml:space="preserve"> PAGEREF _Toc6115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F2B529E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_Toc23086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1.2 </w:t>
          </w:r>
          <w:r>
            <w:t>报告范围与时间</w:t>
          </w:r>
          <w:r>
            <w:tab/>
          </w:r>
          <w:r>
            <w:fldChar w:fldCharType="begin"/>
          </w:r>
          <w:r>
            <w:instrText xml:space="preserve"> PAGEREF _Toc23086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0EE0C4A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_Toc8698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1.3 </w:t>
          </w:r>
          <w:r>
            <w:t>报告编制原则</w:t>
          </w:r>
          <w:r>
            <w:tab/>
          </w:r>
          <w:r>
            <w:fldChar w:fldCharType="begin"/>
          </w:r>
          <w:r>
            <w:instrText xml:space="preserve"> PAGEREF _Toc8698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E9B6C10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_Toc11453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1.4 </w:t>
          </w:r>
          <w:r>
            <w:t>报告获取方式</w:t>
          </w:r>
          <w:r>
            <w:tab/>
          </w:r>
          <w:r>
            <w:fldChar w:fldCharType="begin"/>
          </w:r>
          <w:r>
            <w:instrText xml:space="preserve"> PAGEREF _Toc11453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6ED2AB4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_Toc31599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1.5 </w:t>
          </w:r>
          <w:r>
            <w:t>最高管理者致辞</w:t>
          </w:r>
          <w:r>
            <w:tab/>
          </w:r>
          <w:r>
            <w:fldChar w:fldCharType="begin"/>
          </w:r>
          <w:r>
            <w:instrText xml:space="preserve"> PAGEREF _Toc31599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F6F718E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_Toc16916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二、 </w:t>
          </w:r>
          <w:r>
            <w:t>组织概况</w:t>
          </w:r>
          <w:r>
            <w:tab/>
          </w:r>
          <w:r>
            <w:fldChar w:fldCharType="begin"/>
          </w:r>
          <w:r>
            <w:instrText xml:space="preserve"> PAGEREF _Toc16916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B43093D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_Toc5859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2.1 </w:t>
          </w:r>
          <w:r>
            <w:t>公司简介</w:t>
          </w:r>
          <w:r>
            <w:tab/>
          </w:r>
          <w:r>
            <w:fldChar w:fldCharType="begin"/>
          </w:r>
          <w:r>
            <w:instrText xml:space="preserve"> PAGEREF _Toc5859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97AEFF0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_Toc7023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2.2 </w:t>
          </w:r>
          <w:r>
            <w:t>组织规模</w:t>
          </w:r>
          <w:r>
            <w:tab/>
          </w:r>
          <w:r>
            <w:fldChar w:fldCharType="begin"/>
          </w:r>
          <w:r>
            <w:instrText xml:space="preserve"> PAGEREF _Toc7023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8E24297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_Toc19795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2.3 </w:t>
          </w:r>
          <w:r>
            <w:t>使命、愿景与核心价值观</w:t>
          </w:r>
          <w:r>
            <w:tab/>
          </w:r>
          <w:r>
            <w:fldChar w:fldCharType="begin"/>
          </w:r>
          <w:r>
            <w:instrText xml:space="preserve"> PAGEREF _Toc19795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8496145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_Toc24505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2.4 </w:t>
          </w:r>
          <w:r>
            <w:t>利益相关方识别与沟通</w:t>
          </w:r>
          <w:r>
            <w:tab/>
          </w:r>
          <w:r>
            <w:fldChar w:fldCharType="begin"/>
          </w:r>
          <w:r>
            <w:instrText xml:space="preserve"> PAGEREF _Toc24505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AAC143A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_Toc15424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三、 </w:t>
          </w:r>
          <w:r>
            <w:t>社会责任方针与管理体系</w:t>
          </w:r>
          <w:r>
            <w:tab/>
          </w:r>
          <w:r>
            <w:fldChar w:fldCharType="begin"/>
          </w:r>
          <w:r>
            <w:instrText xml:space="preserve"> PAGEREF _Toc15424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C2B5735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_Toc1968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3.1 </w:t>
          </w:r>
          <w:r>
            <w:t>社会责任方针</w:t>
          </w:r>
          <w:r>
            <w:tab/>
          </w:r>
          <w:r>
            <w:fldChar w:fldCharType="begin"/>
          </w:r>
          <w:r>
            <w:instrText xml:space="preserve"> PAGEREF _Toc1968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8FE19C3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_Toc28101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3.2 </w:t>
          </w:r>
          <w:r>
            <w:t>管理体系融合</w:t>
          </w:r>
          <w:r>
            <w:tab/>
          </w:r>
          <w:r>
            <w:fldChar w:fldCharType="begin"/>
          </w:r>
          <w:r>
            <w:instrText xml:space="preserve"> PAGEREF _Toc28101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86202B6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_Toc24587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3.3 </w:t>
          </w:r>
          <w:r>
            <w:t>社会责任风险管控</w:t>
          </w:r>
          <w:r>
            <w:tab/>
          </w:r>
          <w:r>
            <w:fldChar w:fldCharType="begin"/>
          </w:r>
          <w:r>
            <w:instrText xml:space="preserve"> PAGEREF _Toc24587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A5724D3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_Toc25242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四、 </w:t>
          </w:r>
          <w:r>
            <w:t>组织治理</w:t>
          </w:r>
          <w:r>
            <w:tab/>
          </w:r>
          <w:r>
            <w:fldChar w:fldCharType="begin"/>
          </w:r>
          <w:r>
            <w:instrText xml:space="preserve"> PAGEREF _Toc25242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03D31B1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_Toc14841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4.1 </w:t>
          </w:r>
          <w:r>
            <w:t>治理结构</w:t>
          </w:r>
          <w:r>
            <w:tab/>
          </w:r>
          <w:r>
            <w:fldChar w:fldCharType="begin"/>
          </w:r>
          <w:r>
            <w:instrText xml:space="preserve"> PAGEREF _Toc14841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F48F98F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_Toc5413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4.2 </w:t>
          </w:r>
          <w:r>
            <w:t>合规与道德管理</w:t>
          </w:r>
          <w:r>
            <w:tab/>
          </w:r>
          <w:r>
            <w:fldChar w:fldCharType="begin"/>
          </w:r>
          <w:r>
            <w:instrText xml:space="preserve"> PAGEREF _Toc5413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91D05FD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_Toc9332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4.3 </w:t>
          </w:r>
          <w:r>
            <w:t>透明与信息披露</w:t>
          </w:r>
          <w:r>
            <w:tab/>
          </w:r>
          <w:r>
            <w:fldChar w:fldCharType="begin"/>
          </w:r>
          <w:r>
            <w:instrText xml:space="preserve"> PAGEREF _Toc9332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B38FA80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_Toc1532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4.4 </w:t>
          </w:r>
          <w:r>
            <w:t>反腐败与廉洁管理</w:t>
          </w:r>
          <w:r>
            <w:tab/>
          </w:r>
          <w:r>
            <w:fldChar w:fldCharType="begin"/>
          </w:r>
          <w:r>
            <w:instrText xml:space="preserve"> PAGEREF _Toc1532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15E2263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_Toc7478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五、 </w:t>
          </w:r>
          <w:r>
            <w:t>人权保障</w:t>
          </w:r>
          <w:r>
            <w:tab/>
          </w:r>
          <w:r>
            <w:fldChar w:fldCharType="begin"/>
          </w:r>
          <w:r>
            <w:instrText xml:space="preserve"> PAGEREF _Toc7478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2E3B69C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_Toc9606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5.1 </w:t>
          </w:r>
          <w:r>
            <w:t>基本原则</w:t>
          </w:r>
          <w:r>
            <w:tab/>
          </w:r>
          <w:r>
            <w:fldChar w:fldCharType="begin"/>
          </w:r>
          <w:r>
            <w:instrText xml:space="preserve"> PAGEREF _Toc9606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226A8C7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_Toc24148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5.2 </w:t>
          </w:r>
          <w:r>
            <w:t>平等就业与反歧视</w:t>
          </w:r>
          <w:r>
            <w:tab/>
          </w:r>
          <w:r>
            <w:fldChar w:fldCharType="begin"/>
          </w:r>
          <w:r>
            <w:instrText xml:space="preserve"> PAGEREF _Toc24148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FF95BAB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_Toc19357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5.3 </w:t>
          </w:r>
          <w:r>
            <w:t>禁止使用童工与强迫劳动</w:t>
          </w:r>
          <w:r>
            <w:tab/>
          </w:r>
          <w:r>
            <w:fldChar w:fldCharType="begin"/>
          </w:r>
          <w:r>
            <w:instrText xml:space="preserve"> PAGEREF _Toc19357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C209187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_Toc21972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5.4 </w:t>
          </w:r>
          <w:r>
            <w:t>员工基本权益保障</w:t>
          </w:r>
          <w:r>
            <w:tab/>
          </w:r>
          <w:r>
            <w:fldChar w:fldCharType="begin"/>
          </w:r>
          <w:r>
            <w:instrText xml:space="preserve"> PAGEREF _Toc21972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90A0AEB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_Toc13673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六、 </w:t>
          </w:r>
          <w:r>
            <w:t>劳工实践</w:t>
          </w:r>
          <w:r>
            <w:tab/>
          </w:r>
          <w:r>
            <w:fldChar w:fldCharType="begin"/>
          </w:r>
          <w:r>
            <w:instrText xml:space="preserve"> PAGEREF _Toc13673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ADC0878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_Toc32430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6.1 </w:t>
          </w:r>
          <w:r>
            <w:t>员工雇佣与留任</w:t>
          </w:r>
          <w:r>
            <w:tab/>
          </w:r>
          <w:r>
            <w:fldChar w:fldCharType="begin"/>
          </w:r>
          <w:r>
            <w:instrText xml:space="preserve"> PAGEREF _Toc32430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4902F6F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_Toc703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6.2 </w:t>
          </w:r>
          <w:r>
            <w:t>职业健康与安全</w:t>
          </w:r>
          <w:r>
            <w:tab/>
          </w:r>
          <w:r>
            <w:fldChar w:fldCharType="begin"/>
          </w:r>
          <w:r>
            <w:instrText xml:space="preserve"> PAGEREF _Toc703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046BE35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_Toc20251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6.3 </w:t>
          </w:r>
          <w:r>
            <w:t>员工培训与发展</w:t>
          </w:r>
          <w:r>
            <w:tab/>
          </w:r>
          <w:r>
            <w:fldChar w:fldCharType="begin"/>
          </w:r>
          <w:r>
            <w:instrText xml:space="preserve"> PAGEREF _Toc20251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07AC4E6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_Toc14283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6.4 </w:t>
          </w:r>
          <w:r>
            <w:t>员工沟通与参与</w:t>
          </w:r>
          <w:r>
            <w:tab/>
          </w:r>
          <w:r>
            <w:fldChar w:fldCharType="begin"/>
          </w:r>
          <w:r>
            <w:instrText xml:space="preserve"> PAGEREF _Toc14283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5C77CAB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_Toc20002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6.5 </w:t>
          </w:r>
          <w:r>
            <w:t>薪酬福利</w:t>
          </w:r>
          <w:r>
            <w:tab/>
          </w:r>
          <w:r>
            <w:fldChar w:fldCharType="begin"/>
          </w:r>
          <w:r>
            <w:instrText xml:space="preserve"> PAGEREF _Toc20002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380D9FD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_Toc11479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七、 </w:t>
          </w:r>
          <w:r>
            <w:t>环境保护</w:t>
          </w:r>
          <w:r>
            <w:tab/>
          </w:r>
          <w:r>
            <w:fldChar w:fldCharType="begin"/>
          </w:r>
          <w:r>
            <w:instrText xml:space="preserve"> PAGEREF _Toc11479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2EEAC47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_Toc12990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7.1 </w:t>
          </w:r>
          <w:r>
            <w:t>环境管理体系</w:t>
          </w:r>
          <w:r>
            <w:tab/>
          </w:r>
          <w:r>
            <w:fldChar w:fldCharType="begin"/>
          </w:r>
          <w:r>
            <w:instrText xml:space="preserve"> PAGEREF _Toc12990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9089C25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_Toc25955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7.2 </w:t>
          </w:r>
          <w:r>
            <w:t>污染防治</w:t>
          </w:r>
          <w:r>
            <w:tab/>
          </w:r>
          <w:r>
            <w:fldChar w:fldCharType="begin"/>
          </w:r>
          <w:r>
            <w:instrText xml:space="preserve"> PAGEREF _Toc25955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3AC9535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_Toc16667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7.3 </w:t>
          </w:r>
          <w:r>
            <w:t>节能减排</w:t>
          </w:r>
          <w:r>
            <w:tab/>
          </w:r>
          <w:r>
            <w:fldChar w:fldCharType="begin"/>
          </w:r>
          <w:r>
            <w:instrText xml:space="preserve"> PAGEREF _Toc16667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A8D2A81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_Toc20718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7.4 </w:t>
          </w:r>
          <w:r>
            <w:t>应对气候变化</w:t>
          </w:r>
          <w:r>
            <w:tab/>
          </w:r>
          <w:r>
            <w:fldChar w:fldCharType="begin"/>
          </w:r>
          <w:r>
            <w:instrText xml:space="preserve"> PAGEREF _Toc20718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60A470E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_Toc32432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八、 </w:t>
          </w:r>
          <w:r>
            <w:t>公平运营</w:t>
          </w:r>
          <w:r>
            <w:tab/>
          </w:r>
          <w:r>
            <w:fldChar w:fldCharType="begin"/>
          </w:r>
          <w:r>
            <w:instrText xml:space="preserve"> PAGEREF _Toc32432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1DFFC72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_Toc19237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8.1 </w:t>
          </w:r>
          <w:r>
            <w:t>反腐败与廉洁运营</w:t>
          </w:r>
          <w:r>
            <w:tab/>
          </w:r>
          <w:r>
            <w:fldChar w:fldCharType="begin"/>
          </w:r>
          <w:r>
            <w:instrText xml:space="preserve"> PAGEREF _Toc19237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C572994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_Toc23625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8.2 </w:t>
          </w:r>
          <w:r>
            <w:t>公平竞争</w:t>
          </w:r>
          <w:r>
            <w:tab/>
          </w:r>
          <w:r>
            <w:fldChar w:fldCharType="begin"/>
          </w:r>
          <w:r>
            <w:instrText xml:space="preserve"> PAGEREF _Toc23625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707AC33E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_Toc7751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8.3 </w:t>
          </w:r>
          <w:r>
            <w:t>供应链责任</w:t>
          </w:r>
          <w:r>
            <w:tab/>
          </w:r>
          <w:r>
            <w:fldChar w:fldCharType="begin"/>
          </w:r>
          <w:r>
            <w:instrText xml:space="preserve"> PAGEREF _Toc7751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516E032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_Toc11578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8.4 </w:t>
          </w:r>
          <w:r>
            <w:t>产权保护</w:t>
          </w:r>
          <w:r>
            <w:tab/>
          </w:r>
          <w:r>
            <w:fldChar w:fldCharType="begin"/>
          </w:r>
          <w:r>
            <w:instrText xml:space="preserve"> PAGEREF _Toc11578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EF76581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_Toc8714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九、 </w:t>
          </w:r>
          <w:r>
            <w:t>消费者保护</w:t>
          </w:r>
          <w:r>
            <w:tab/>
          </w:r>
          <w:r>
            <w:fldChar w:fldCharType="begin"/>
          </w:r>
          <w:r>
            <w:instrText xml:space="preserve"> PAGEREF _Toc8714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3D209A00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_Toc15698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9.1 </w:t>
          </w:r>
          <w:r>
            <w:t>产品质量与安全</w:t>
          </w:r>
          <w:r>
            <w:tab/>
          </w:r>
          <w:r>
            <w:fldChar w:fldCharType="begin"/>
          </w:r>
          <w:r>
            <w:instrText xml:space="preserve"> PAGEREF _Toc15698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8DFAE0F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_Toc8770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9.2 </w:t>
          </w:r>
          <w:r>
            <w:t>顾客服务与投诉处理</w:t>
          </w:r>
          <w:r>
            <w:tab/>
          </w:r>
          <w:r>
            <w:fldChar w:fldCharType="begin"/>
          </w:r>
          <w:r>
            <w:instrText xml:space="preserve"> PAGEREF _Toc8770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3673C27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_Toc9035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9.3 </w:t>
          </w:r>
          <w:r>
            <w:t>产品召回与应急机制</w:t>
          </w:r>
          <w:r>
            <w:tab/>
          </w:r>
          <w:r>
            <w:fldChar w:fldCharType="begin"/>
          </w:r>
          <w:r>
            <w:instrText xml:space="preserve"> PAGEREF _Toc9035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A3FB726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_Toc21523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9.4 </w:t>
          </w:r>
          <w:r>
            <w:t>消费者信息保护</w:t>
          </w:r>
          <w:r>
            <w:tab/>
          </w:r>
          <w:r>
            <w:fldChar w:fldCharType="begin"/>
          </w:r>
          <w:r>
            <w:instrText xml:space="preserve"> PAGEREF _Toc21523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07F1AB4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_Toc7108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十、 </w:t>
          </w:r>
          <w:r>
            <w:t>社区参与和发展</w:t>
          </w:r>
          <w:r>
            <w:tab/>
          </w:r>
          <w:r>
            <w:fldChar w:fldCharType="begin"/>
          </w:r>
          <w:r>
            <w:instrText xml:space="preserve"> PAGEREF _Toc7108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5AAA2AFF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_Toc5504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10.1 </w:t>
          </w:r>
          <w:r>
            <w:t>公益支持战略</w:t>
          </w:r>
          <w:r>
            <w:tab/>
          </w:r>
          <w:r>
            <w:fldChar w:fldCharType="begin"/>
          </w:r>
          <w:r>
            <w:instrText xml:space="preserve"> PAGEREF _Toc5504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C4B93BC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_Toc22799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10.2 </w:t>
          </w:r>
          <w:r>
            <w:t>公益投入与绩效</w:t>
          </w:r>
          <w:r>
            <w:tab/>
          </w:r>
          <w:r>
            <w:fldChar w:fldCharType="begin"/>
          </w:r>
          <w:r>
            <w:instrText xml:space="preserve"> PAGEREF _Toc22799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2A40EF2A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_Toc21132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10.3 </w:t>
          </w:r>
          <w:r>
            <w:t>社区共建与乡村振兴</w:t>
          </w:r>
          <w:r>
            <w:tab/>
          </w:r>
          <w:r>
            <w:fldChar w:fldCharType="begin"/>
          </w:r>
          <w:r>
            <w:instrText xml:space="preserve"> PAGEREF _Toc21132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1A664F31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_Toc22095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十一、 </w:t>
          </w:r>
          <w:r>
            <w:t>社会责任绩效总结</w:t>
          </w:r>
          <w:r>
            <w:tab/>
          </w:r>
          <w:r>
            <w:fldChar w:fldCharType="begin"/>
          </w:r>
          <w:r>
            <w:instrText xml:space="preserve"> PAGEREF _Toc22095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663C0BEB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_Toc1096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11.1 </w:t>
          </w:r>
          <w:r>
            <w:t>关键绩效指标汇总</w:t>
          </w:r>
          <w:r>
            <w:tab/>
          </w:r>
          <w:r>
            <w:fldChar w:fldCharType="begin"/>
          </w:r>
          <w:r>
            <w:instrText xml:space="preserve"> PAGEREF _Toc1096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94C4500"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_Toc28866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</w:rPr>
            <w:t xml:space="preserve">11.2 </w:t>
          </w:r>
          <w:r>
            <w:t>社会责任荣誉</w:t>
          </w:r>
          <w:r>
            <w:tab/>
          </w:r>
          <w:r>
            <w:fldChar w:fldCharType="begin"/>
          </w:r>
          <w:r>
            <w:instrText xml:space="preserve"> PAGEREF _Toc28866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050394D9">
          <w:pPr>
            <w:pStyle w:val="1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_Toc8590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十二、 </w:t>
          </w:r>
          <w:r>
            <w:t>持续改进计划</w:t>
          </w:r>
          <w:r>
            <w:tab/>
          </w:r>
          <w:r>
            <w:fldChar w:fldCharType="begin"/>
          </w:r>
          <w:r>
            <w:instrText xml:space="preserve"> PAGEREF _Toc8590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 w14:paraId="4B925070">
          <w:pPr>
            <w:pStyle w:val="19"/>
            <w:widowControl/>
            <w:shd w:val="clear" w:fill="FFFFFF"/>
            <w:rPr>
              <w:rFonts w:hint="eastAsia" w:ascii="Times New Roman" w:hAnsi="Times New Roman" w:eastAsia="黑体" w:cs="Times New Roman"/>
              <w:kern w:val="2"/>
              <w:sz w:val="36"/>
              <w:szCs w:val="24"/>
              <w:lang w:val="en-US" w:eastAsia="zh-CN" w:bidi="ar-SA"/>
            </w:rPr>
          </w:pPr>
          <w:r>
            <w:rPr>
              <w:rFonts w:hint="eastAsia"/>
            </w:rPr>
            <w:fldChar w:fldCharType="end"/>
          </w:r>
        </w:p>
      </w:sdtContent>
    </w:sdt>
    <w:p w14:paraId="22A2D288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061CC204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1B5FB1A9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636127D4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74785C19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4615FCCD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47D152BA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6FDEA516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4A26424B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67EF7838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5185904C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5E7AF149">
      <w:pPr>
        <w:pStyle w:val="19"/>
        <w:widowControl/>
        <w:shd w:val="clear" w:fill="FFFFFF"/>
        <w:rPr>
          <w:rFonts w:hint="eastAsia" w:ascii="Times New Roman" w:hAnsi="Times New Roman" w:eastAsia="黑体" w:cs="Times New Roman"/>
          <w:kern w:val="2"/>
          <w:sz w:val="36"/>
          <w:szCs w:val="24"/>
          <w:lang w:val="en-US" w:eastAsia="zh-CN" w:bidi="ar-SA"/>
        </w:rPr>
      </w:pPr>
    </w:p>
    <w:p w14:paraId="335ABA98">
      <w:pPr>
        <w:pStyle w:val="19"/>
        <w:widowControl/>
        <w:shd w:val="clear" w:fill="FFFFFF"/>
      </w:pPr>
      <w:r>
        <w:t>江苏澄擎新能源有限公司社会责任报告</w:t>
      </w:r>
    </w:p>
    <w:p w14:paraId="3435CA11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报告期间：202</w:t>
      </w:r>
      <w:r>
        <w:rPr>
          <w:rFonts w:hint="eastAsia" w:cs="Times New Roman"/>
          <w:b/>
          <w:i w:val="0"/>
          <w:color w:val="0F1115"/>
          <w:sz w:val="24"/>
          <w:szCs w:val="24"/>
          <w:lang w:val="en-US" w:eastAsia="zh-CN"/>
        </w:rPr>
        <w:t>5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年1月1日—202</w:t>
      </w:r>
      <w:r>
        <w:rPr>
          <w:rFonts w:hint="eastAsia" w:cs="Times New Roman"/>
          <w:b/>
          <w:i w:val="0"/>
          <w:color w:val="0F1115"/>
          <w:sz w:val="24"/>
          <w:szCs w:val="24"/>
          <w:lang w:val="en-US" w:eastAsia="zh-CN"/>
        </w:rPr>
        <w:t>5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年12月31日</w:t>
      </w:r>
    </w:p>
    <w:p w14:paraId="401BDD06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编制依据：GB/T 39604—2020《社会责任管理体系 要求及使用指南》</w:t>
      </w:r>
    </w:p>
    <w:p w14:paraId="79425853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0" w:name="_Toc16572"/>
      <w:r>
        <w:t>关于本报告</w:t>
      </w:r>
      <w:bookmarkEnd w:id="0"/>
    </w:p>
    <w:p w14:paraId="1306E9EB">
      <w:pPr>
        <w:pStyle w:val="4"/>
        <w:widowControl/>
        <w:numPr>
          <w:ilvl w:val="0"/>
          <w:numId w:val="2"/>
        </w:numPr>
        <w:shd w:val="clear" w:fill="FFFFFF"/>
        <w:ind w:left="0" w:leftChars="0" w:firstLine="0" w:firstLineChars="0"/>
        <w:rPr>
          <w:b w:val="0"/>
        </w:rPr>
      </w:pPr>
      <w:bookmarkStart w:id="1" w:name="_Toc6115"/>
      <w:r>
        <w:t>报告概述</w:t>
      </w:r>
      <w:bookmarkEnd w:id="1"/>
    </w:p>
    <w:p w14:paraId="12426EF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本报告是江苏澄擎新能源有限公司（以下简称“澄擎新能源”或“公司”）发布的年度社会责任报告。报告依据GB/T 39604—2020《社会责任管理体系 要求及使用指南》编制，遵循真实性、完整性、及时性原则，系统披露公司在组织治理、人权保障、劳工实践、环境保护、公平运营、消费者保护、社区参与和发展等社会责任核心议题方面的理念、实践与绩效。</w:t>
      </w:r>
    </w:p>
    <w:p w14:paraId="098F5C78">
      <w:pPr>
        <w:pStyle w:val="4"/>
        <w:widowControl/>
        <w:numPr>
          <w:ilvl w:val="0"/>
          <w:numId w:val="2"/>
        </w:numPr>
        <w:shd w:val="clear" w:fill="FFFFFF"/>
        <w:ind w:left="0" w:leftChars="0" w:firstLine="0" w:firstLineChars="0"/>
        <w:rPr>
          <w:b w:val="0"/>
        </w:rPr>
      </w:pPr>
      <w:bookmarkStart w:id="2" w:name="_Toc23086"/>
      <w:r>
        <w:t>报告范围与时间</w:t>
      </w:r>
      <w:bookmarkEnd w:id="2"/>
    </w:p>
    <w:p w14:paraId="0FDD8AEF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本报告覆盖公司及所属各部门（包括但不限于研发部、生产部、质量部、采购部、销售部、人事部、财务部）在202</w:t>
      </w:r>
      <w:r>
        <w:rPr>
          <w:rFonts w:hint="eastAsia" w:ascii="Times New Roman" w:hAnsi="Times New Roman" w:eastAsia="宋体" w:cs="Times New Roman"/>
          <w:i w:val="0"/>
          <w:color w:val="0F1115"/>
          <w:sz w:val="24"/>
          <w:szCs w:val="24"/>
          <w:lang w:val="en-US" w:eastAsia="zh-CN"/>
        </w:rPr>
        <w:t>5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年1月1日至202</w:t>
      </w:r>
      <w:r>
        <w:rPr>
          <w:rFonts w:hint="eastAsia" w:ascii="Times New Roman" w:hAnsi="Times New Roman" w:eastAsia="宋体" w:cs="Times New Roman"/>
          <w:i w:val="0"/>
          <w:color w:val="0F1115"/>
          <w:sz w:val="24"/>
          <w:szCs w:val="24"/>
          <w:lang w:val="en-US" w:eastAsia="zh-CN"/>
        </w:rPr>
        <w:t>5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年12月31日期间的社会责任履行情况。部分内容为便于说明追溯性，适当延伸至相关年份。</w:t>
      </w:r>
    </w:p>
    <w:p w14:paraId="64539C8D">
      <w:pPr>
        <w:pStyle w:val="4"/>
        <w:widowControl/>
        <w:numPr>
          <w:ilvl w:val="0"/>
          <w:numId w:val="2"/>
        </w:numPr>
        <w:shd w:val="clear" w:fill="FFFFFF"/>
        <w:ind w:left="0" w:leftChars="0" w:firstLine="0" w:firstLineChars="0"/>
      </w:pPr>
      <w:bookmarkStart w:id="3" w:name="_Toc8698"/>
      <w:r>
        <w:t>报告编制原则</w:t>
      </w:r>
      <w:bookmarkEnd w:id="3"/>
    </w:p>
    <w:p w14:paraId="76CA0DD7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真实性：报告内容基于客观事实与真实数据；</w:t>
      </w:r>
    </w:p>
    <w:p w14:paraId="24532137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完整性：系统披露社会责任各核心议题的履行情况；</w:t>
      </w:r>
    </w:p>
    <w:p w14:paraId="21463DD3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及时性：确保信息的时效性和连续性。</w:t>
      </w:r>
    </w:p>
    <w:p w14:paraId="493D4516">
      <w:pPr>
        <w:pStyle w:val="4"/>
        <w:widowControl/>
        <w:numPr>
          <w:ilvl w:val="0"/>
          <w:numId w:val="2"/>
        </w:numPr>
        <w:shd w:val="clear" w:fill="FFFFFF"/>
        <w:ind w:left="0" w:leftChars="0" w:firstLine="0" w:firstLineChars="0"/>
        <w:rPr>
          <w:b w:val="0"/>
        </w:rPr>
      </w:pPr>
      <w:bookmarkStart w:id="4" w:name="_Toc11453"/>
      <w:r>
        <w:t>报告获取方式</w:t>
      </w:r>
      <w:bookmarkEnd w:id="4"/>
    </w:p>
    <w:p w14:paraId="7212EA7B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顾客、供应商、监管部门等利益相关方可通过公司官方网站、服务热线或政府指定信用信息平台获取本报告。</w:t>
      </w:r>
    </w:p>
    <w:p w14:paraId="3172E681">
      <w:pPr>
        <w:pStyle w:val="4"/>
        <w:widowControl/>
        <w:numPr>
          <w:ilvl w:val="0"/>
          <w:numId w:val="2"/>
        </w:numPr>
        <w:shd w:val="clear" w:fill="FFFFFF"/>
        <w:ind w:left="0" w:leftChars="0" w:firstLine="0" w:firstLineChars="0"/>
        <w:rPr>
          <w:b w:val="0"/>
        </w:rPr>
      </w:pPr>
      <w:bookmarkStart w:id="5" w:name="_Toc31599"/>
      <w:r>
        <w:t>最高管理者致辞</w:t>
      </w:r>
      <w:bookmarkEnd w:id="5"/>
    </w:p>
    <w:p w14:paraId="74F967D5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“与世界分享阳光价值，这一使命不仅是我们的商业承诺，更是我们对所有利益相关方沉甸甸的社会责任承诺。从一块硅片到一座电站，从东台到全球90多个国家，澄擎新能源输出的每一块组件、交付的每一套系统，都承载着我们对卓越质量和社会责任的不懈追求。我们将继续以‘勤奋、务实、真诚、感恩’之心，筑牢质量根基，践行社会责任，为推动全球绿色能源的平价与可靠贡献澄擎力量。”</w:t>
      </w:r>
    </w:p>
    <w:p w14:paraId="3CD43FBB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——公司总经理：陈存</w:t>
      </w:r>
    </w:p>
    <w:p w14:paraId="7ECA5AC1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6" w:name="_Toc16916"/>
      <w:r>
        <w:t>组织概况</w:t>
      </w:r>
      <w:bookmarkEnd w:id="6"/>
    </w:p>
    <w:p w14:paraId="16D46B5F">
      <w:pPr>
        <w:pStyle w:val="4"/>
        <w:widowControl/>
        <w:numPr>
          <w:ilvl w:val="0"/>
          <w:numId w:val="3"/>
        </w:numPr>
        <w:shd w:val="clear" w:fill="FFFFFF"/>
        <w:ind w:left="0" w:leftChars="0" w:firstLine="0" w:firstLineChars="0"/>
        <w:rPr>
          <w:b w:val="0"/>
        </w:rPr>
      </w:pPr>
      <w:bookmarkStart w:id="7" w:name="_Toc5859"/>
      <w:r>
        <w:t>公司简介</w:t>
      </w:r>
      <w:bookmarkEnd w:id="7"/>
    </w:p>
    <w:p w14:paraId="37CC1E2A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江苏澄擎新能源有限公司成立于2019年，位于江苏省盐城市东台市安丰镇，是一家专注于单晶光伏组件、分布式光伏发电系统、智能微电网储能系统等研发、生产和销售的高新技术企业。公司是全国领先的光伏组件制造商，高效N型TOPCon全黑双光玻组件全国排名前五、江苏省前三，产品远销全球90多个国家和地区。</w:t>
      </w:r>
      <w:r>
        <w:rPr>
          <w:rFonts w:ascii="Times New Roman" w:hAnsi="Times New Roman" w:eastAsia="宋体" w:cs="Times New Roman"/>
          <w:i w:val="0"/>
          <w:color w:val="FF0000"/>
          <w:sz w:val="24"/>
          <w:szCs w:val="24"/>
        </w:rPr>
        <w:t>202</w:t>
      </w:r>
      <w:r>
        <w:rPr>
          <w:rFonts w:hint="eastAsia" w:ascii="Times New Roman" w:hAnsi="Times New Roman" w:eastAsia="宋体" w:cs="Times New Roman"/>
          <w:i w:val="0"/>
          <w:color w:val="FF0000"/>
          <w:sz w:val="24"/>
          <w:szCs w:val="24"/>
          <w:lang w:val="en-US" w:eastAsia="zh-CN"/>
        </w:rPr>
        <w:t>5</w:t>
      </w:r>
      <w:r>
        <w:rPr>
          <w:rFonts w:ascii="Times New Roman" w:hAnsi="Times New Roman" w:eastAsia="宋体" w:cs="Times New Roman"/>
          <w:i w:val="0"/>
          <w:color w:val="FF0000"/>
          <w:sz w:val="24"/>
          <w:szCs w:val="24"/>
        </w:rPr>
        <w:t>年实现开票销售5.09亿元，入选盐城民营企业100强、盐城市瞪羚企业。</w:t>
      </w:r>
    </w:p>
    <w:tbl>
      <w:tblPr>
        <w:tblStyle w:val="2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72"/>
      </w:tblGrid>
      <w:tr w14:paraId="70743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noWrap w:val="0"/>
            <w:vAlign w:val="top"/>
          </w:tcPr>
          <w:p w14:paraId="62E9A8B1">
            <w:pPr>
              <w:widowControl/>
              <w:spacing w:line="360" w:lineRule="auto"/>
              <w:jc w:val="both"/>
              <w:rPr>
                <w:rFonts w:hint="default" w:ascii="Times New Roman" w:hAnsi="Times New Roman" w:eastAsia="宋体" w:cs="Times New Roman"/>
                <w:color w:val="auto"/>
                <w:sz w:val="24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highlight w:val="none"/>
                <w:vertAlign w:val="baseline"/>
                <w:lang w:eastAsia="zh-CN"/>
              </w:rPr>
              <w:drawing>
                <wp:inline distT="0" distB="0" distL="114300" distR="114300">
                  <wp:extent cx="2560320" cy="1828800"/>
                  <wp:effectExtent l="0" t="0" r="1905" b="0"/>
                  <wp:docPr id="7" name="图片 5" descr="cd2a1e3ccda17ee383b6ff883da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cd2a1e3ccda17ee383b6ff883da56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noWrap w:val="0"/>
            <w:vAlign w:val="top"/>
          </w:tcPr>
          <w:p w14:paraId="01B84A4F">
            <w:pPr>
              <w:widowControl/>
              <w:spacing w:line="360" w:lineRule="auto"/>
              <w:jc w:val="both"/>
              <w:rPr>
                <w:rFonts w:hint="default" w:ascii="Times New Roman" w:hAnsi="Times New Roman" w:eastAsia="宋体" w:cs="Times New Roman"/>
                <w:color w:val="auto"/>
                <w:sz w:val="24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highlight w:val="none"/>
                <w:vertAlign w:val="baseline"/>
                <w:lang w:eastAsia="zh-CN"/>
              </w:rPr>
              <w:drawing>
                <wp:inline distT="0" distB="0" distL="114300" distR="114300">
                  <wp:extent cx="2563495" cy="1882775"/>
                  <wp:effectExtent l="0" t="0" r="8255" b="3175"/>
                  <wp:docPr id="8" name="图片 6" descr="b6b5349559a5970233648a73ed0a9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b6b5349559a5970233648a73ed0a9f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5B7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noWrap w:val="0"/>
            <w:vAlign w:val="top"/>
          </w:tcPr>
          <w:p w14:paraId="526F75D6"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4"/>
                <w:highlight w:val="none"/>
                <w:vertAlign w:val="baseline"/>
                <w:lang w:val="en-US" w:eastAsia="zh-CN"/>
              </w:rPr>
              <w:t>图B-1 公司场景图</w:t>
            </w:r>
          </w:p>
        </w:tc>
      </w:tr>
    </w:tbl>
    <w:p w14:paraId="1CE600D3">
      <w:pPr>
        <w:pStyle w:val="4"/>
        <w:widowControl/>
        <w:numPr>
          <w:ilvl w:val="0"/>
          <w:numId w:val="3"/>
        </w:numPr>
        <w:shd w:val="clear" w:fill="FFFFFF"/>
        <w:ind w:left="0" w:leftChars="0" w:firstLine="0" w:firstLineChars="0"/>
        <w:rPr>
          <w:b w:val="0"/>
        </w:rPr>
      </w:pPr>
      <w:bookmarkStart w:id="8" w:name="_Toc7023"/>
      <w:r>
        <w:t>组织规模</w:t>
      </w:r>
      <w:bookmarkEnd w:id="8"/>
    </w:p>
    <w:tbl>
      <w:tblPr>
        <w:tblStyle w:val="20"/>
        <w:tblW w:w="84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79"/>
        <w:gridCol w:w="3920"/>
      </w:tblGrid>
      <w:tr w14:paraId="69D0C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  <w:tblHeader/>
        </w:trPr>
        <w:tc>
          <w:tcPr>
            <w:tcW w:w="0" w:type="auto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80F814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3920" w:type="dxa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85F489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1B81B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2" w:hRule="atLeast"/>
        </w:trPr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0EBF6B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员工总人数</w:t>
            </w:r>
          </w:p>
        </w:tc>
        <w:tc>
          <w:tcPr>
            <w:tcW w:w="3920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DD01D1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EastAsia" w:hAnsiTheme="minorEastAsia" w:eastAsiaTheme="minorEastAsia" w:cstheme="minorEastAsia"/>
                <w:b w:val="0"/>
                <w:color w:val="FF0000"/>
                <w:sz w:val="21"/>
                <w:szCs w:val="21"/>
                <w:highlight w:val="yellow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189人</w:t>
            </w:r>
          </w:p>
        </w:tc>
      </w:tr>
      <w:tr w14:paraId="314F62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2" w:hRule="atLeast"/>
        </w:trPr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1E0CE4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专职科技人员</w:t>
            </w:r>
          </w:p>
        </w:tc>
        <w:tc>
          <w:tcPr>
            <w:tcW w:w="3920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86DD04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FF0000"/>
                <w:sz w:val="21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80人（占42%）</w:t>
            </w:r>
          </w:p>
        </w:tc>
      </w:tr>
      <w:tr w14:paraId="5FCDF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2" w:hRule="atLeast"/>
        </w:trPr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8BF8C8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本科及以上学历人员</w:t>
            </w:r>
          </w:p>
        </w:tc>
        <w:tc>
          <w:tcPr>
            <w:tcW w:w="3920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9614D9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FF0000"/>
                <w:sz w:val="21"/>
                <w:szCs w:val="21"/>
                <w:highlight w:val="yellow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39人</w:t>
            </w:r>
          </w:p>
        </w:tc>
      </w:tr>
      <w:tr w14:paraId="04775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2" w:hRule="atLeast"/>
        </w:trPr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393F7D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生产厂房面积</w:t>
            </w:r>
          </w:p>
        </w:tc>
        <w:tc>
          <w:tcPr>
            <w:tcW w:w="3920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47D6A6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10000㎡</w:t>
            </w:r>
          </w:p>
        </w:tc>
      </w:tr>
      <w:tr w14:paraId="3CE90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2" w:hRule="atLeast"/>
        </w:trPr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A2BA4D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实验检测中心面积</w:t>
            </w:r>
          </w:p>
        </w:tc>
        <w:tc>
          <w:tcPr>
            <w:tcW w:w="3920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2904B9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700㎡</w:t>
            </w:r>
          </w:p>
        </w:tc>
      </w:tr>
      <w:tr w14:paraId="2F6C99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4" w:hRule="atLeast"/>
        </w:trPr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AA010E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光伏组件生产线</w:t>
            </w:r>
          </w:p>
        </w:tc>
        <w:tc>
          <w:tcPr>
            <w:tcW w:w="3920" w:type="dxa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54EF5E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2条（国内先进）</w:t>
            </w:r>
          </w:p>
        </w:tc>
      </w:tr>
    </w:tbl>
    <w:p w14:paraId="4844726C">
      <w:pPr>
        <w:pStyle w:val="4"/>
        <w:widowControl/>
        <w:numPr>
          <w:ilvl w:val="0"/>
          <w:numId w:val="3"/>
        </w:numPr>
        <w:shd w:val="clear" w:fill="FFFFFF"/>
        <w:ind w:left="0" w:leftChars="0" w:firstLine="0" w:firstLineChars="0"/>
        <w:rPr>
          <w:b w:val="0"/>
        </w:rPr>
      </w:pPr>
      <w:bookmarkStart w:id="9" w:name="_Toc19795"/>
      <w:r>
        <w:t>使命、愿景与核心价值观</w:t>
      </w:r>
      <w:bookmarkEnd w:id="9"/>
    </w:p>
    <w:tbl>
      <w:tblPr>
        <w:tblStyle w:val="20"/>
        <w:tblW w:w="845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5"/>
        <w:gridCol w:w="7123"/>
      </w:tblGrid>
      <w:tr w14:paraId="4ED55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C5EC58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var(--dsw-font-markdown-table-h" w:hAnsi="var(--dsw-font-markdown-table-h" w:eastAsia="var(--dsw-font-markdown-table-h" w:cs="var(--dsw-font-markdown-table-h"/>
                <w:b/>
                <w:bCs/>
                <w:color w:val="000000"/>
              </w:rPr>
            </w:pPr>
            <w:r>
              <w:rPr>
                <w:rFonts w:hint="default" w:ascii="var(--dsw-font-markdown-table-h" w:hAnsi="var(--dsw-font-markdown-table-h" w:eastAsia="var(--dsw-font-markdown-table-h" w:cs="var(--dsw-font-markdown-table-h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项目</w:t>
            </w:r>
          </w:p>
        </w:tc>
        <w:tc>
          <w:tcPr>
            <w:tcW w:w="7123" w:type="dxa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DD9DD1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var(--dsw-font-markdown-table-h" w:hAnsi="var(--dsw-font-markdown-table-h" w:eastAsia="var(--dsw-font-markdown-table-h" w:cs="var(--dsw-font-markdown-table-h"/>
                <w:b/>
                <w:bCs/>
                <w:color w:val="000000"/>
              </w:rPr>
            </w:pPr>
            <w:r>
              <w:rPr>
                <w:rFonts w:hint="default" w:ascii="var(--dsw-font-markdown-table-h" w:hAnsi="var(--dsw-font-markdown-table-h" w:eastAsia="var(--dsw-font-markdown-table-h" w:cs="var(--dsw-font-markdown-table-h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内容</w:t>
            </w:r>
          </w:p>
        </w:tc>
      </w:tr>
      <w:tr w14:paraId="6AAD3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64A9E7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</w:rPr>
            </w:pPr>
            <w:r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使命</w:t>
            </w:r>
          </w:p>
        </w:tc>
        <w:tc>
          <w:tcPr>
            <w:tcW w:w="7123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4B185A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</w:rPr>
            </w:pPr>
            <w:r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与世界分享阳光价值</w:t>
            </w:r>
          </w:p>
        </w:tc>
      </w:tr>
      <w:tr w14:paraId="1A5E2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3B7664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</w:rPr>
            </w:pPr>
            <w:r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愿景</w:t>
            </w:r>
          </w:p>
        </w:tc>
        <w:tc>
          <w:tcPr>
            <w:tcW w:w="7123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C8171D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</w:rPr>
            </w:pPr>
            <w:r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致力于成为全球领先的光伏组件制造商，成就百年企业</w:t>
            </w:r>
          </w:p>
        </w:tc>
      </w:tr>
      <w:tr w14:paraId="414E87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DE318D1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</w:rPr>
            </w:pPr>
            <w:r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核心价值观</w:t>
            </w:r>
          </w:p>
        </w:tc>
        <w:tc>
          <w:tcPr>
            <w:tcW w:w="7123" w:type="dxa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A021E9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</w:rPr>
            </w:pPr>
            <w:r>
              <w:rPr>
                <w:rFonts w:hint="default" w:ascii="var(--dsw-font-markdown-table)" w:hAnsi="var(--dsw-font-markdown-table)" w:eastAsia="var(--dsw-font-markdown-table)" w:cs="var(--dsw-font-markdown-table)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勤奋、务实、真诚、感恩</w:t>
            </w:r>
          </w:p>
        </w:tc>
      </w:tr>
    </w:tbl>
    <w:p w14:paraId="7568C8CB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公司以“与世界分享阳光价值”为使命，以“勤奋、务实、真诚、感恩”为核心价值观，将社会责任融入企业发展战略和日常运营之中。</w:t>
      </w:r>
    </w:p>
    <w:p w14:paraId="0F23151D">
      <w:pPr>
        <w:pStyle w:val="4"/>
        <w:widowControl/>
        <w:numPr>
          <w:ilvl w:val="0"/>
          <w:numId w:val="3"/>
        </w:numPr>
        <w:shd w:val="clear" w:fill="FFFFFF"/>
        <w:ind w:left="0" w:leftChars="0" w:firstLine="0" w:firstLineChars="0"/>
        <w:rPr>
          <w:b w:val="0"/>
        </w:rPr>
      </w:pPr>
      <w:bookmarkStart w:id="10" w:name="_Toc24505"/>
      <w:r>
        <w:t>利益相关方识别与沟通</w:t>
      </w:r>
      <w:bookmarkEnd w:id="10"/>
    </w:p>
    <w:p w14:paraId="10090097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公司主要利益相关方包括：股东、员工、顾客、供应商与合作伙伴、政府及社会公众。各相关方的关键需求和期望及沟通方式如下：</w:t>
      </w:r>
    </w:p>
    <w:tbl>
      <w:tblPr>
        <w:tblStyle w:val="20"/>
        <w:tblW w:w="0" w:type="auto"/>
        <w:tblInd w:w="-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54"/>
        <w:gridCol w:w="3165"/>
        <w:gridCol w:w="949"/>
        <w:gridCol w:w="3281"/>
      </w:tblGrid>
      <w:tr w14:paraId="375FF9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1050" w:type="dxa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8EE8D5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利益相关方</w:t>
            </w:r>
          </w:p>
        </w:tc>
        <w:tc>
          <w:tcPr>
            <w:tcW w:w="4244" w:type="dxa"/>
            <w:gridSpan w:val="2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AA0D03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关键需求和期望</w:t>
            </w:r>
          </w:p>
        </w:tc>
        <w:tc>
          <w:tcPr>
            <w:tcW w:w="3132" w:type="dxa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ADE9D3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沟通方式</w:t>
            </w:r>
          </w:p>
        </w:tc>
      </w:tr>
      <w:tr w14:paraId="036B1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50" w:type="dxa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8DE899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顾客</w:t>
            </w:r>
          </w:p>
        </w:tc>
        <w:tc>
          <w:tcPr>
            <w:tcW w:w="4244" w:type="dxa"/>
            <w:gridSpan w:val="2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0F0039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品牌知名度、产品先进性与安全性、供货及时性</w:t>
            </w:r>
          </w:p>
        </w:tc>
        <w:tc>
          <w:tcPr>
            <w:tcW w:w="3132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B6AF76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顾客满意度调查、高层走访、售后服务</w:t>
            </w:r>
          </w:p>
        </w:tc>
      </w:tr>
      <w:tr w14:paraId="6815F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50" w:type="dxa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A20017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股东</w:t>
            </w:r>
          </w:p>
        </w:tc>
        <w:tc>
          <w:tcPr>
            <w:tcW w:w="4244" w:type="dxa"/>
            <w:gridSpan w:val="2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F90CE2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企业稳定发展、较高的投资回报率</w:t>
            </w:r>
          </w:p>
        </w:tc>
        <w:tc>
          <w:tcPr>
            <w:tcW w:w="3132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EE13E4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股东大会、财务报告、定期公告</w:t>
            </w:r>
          </w:p>
        </w:tc>
      </w:tr>
      <w:tr w14:paraId="246E6A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50" w:type="dxa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F58EA1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</w:t>
            </w:r>
          </w:p>
        </w:tc>
        <w:tc>
          <w:tcPr>
            <w:tcW w:w="4244" w:type="dxa"/>
            <w:gridSpan w:val="2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CDB183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良好的工作环境、较高的薪酬福利、畅通的发展通道</w:t>
            </w:r>
          </w:p>
        </w:tc>
        <w:tc>
          <w:tcPr>
            <w:tcW w:w="3132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54A797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员工座谈会、满意度调查、OA系统</w:t>
            </w:r>
          </w:p>
        </w:tc>
      </w:tr>
      <w:tr w14:paraId="38B726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50" w:type="dxa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6223B2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供应商</w:t>
            </w:r>
          </w:p>
        </w:tc>
        <w:tc>
          <w:tcPr>
            <w:tcW w:w="4244" w:type="dxa"/>
            <w:gridSpan w:val="2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D49515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及时付款、长期合作、互惠互利</w:t>
            </w:r>
          </w:p>
        </w:tc>
        <w:tc>
          <w:tcPr>
            <w:tcW w:w="3132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22194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供应商评审、年度供应商大会</w:t>
            </w:r>
          </w:p>
        </w:tc>
      </w:tr>
      <w:tr w14:paraId="71F07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50" w:type="dxa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DFDA7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社会</w:t>
            </w:r>
          </w:p>
        </w:tc>
        <w:tc>
          <w:tcPr>
            <w:tcW w:w="4244" w:type="dxa"/>
            <w:gridSpan w:val="2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F5191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热心公益、守法经营、和谐发展</w:t>
            </w:r>
          </w:p>
        </w:tc>
        <w:tc>
          <w:tcPr>
            <w:tcW w:w="3132" w:type="dxa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279539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公益活动、信息披露、政府汇报</w:t>
            </w:r>
          </w:p>
        </w:tc>
      </w:tr>
      <w:tr w14:paraId="7E4A34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2" w:type="dxa"/>
            <w:gridSpan w:val="2"/>
            <w:shd w:val="clear" w:color="auto" w:fill="auto"/>
            <w:noWrap w:val="0"/>
            <w:vAlign w:val="top"/>
          </w:tcPr>
          <w:p w14:paraId="0639DA74">
            <w:p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drawing>
                <wp:inline distT="0" distB="0" distL="114300" distR="114300">
                  <wp:extent cx="2600325" cy="1694180"/>
                  <wp:effectExtent l="0" t="0" r="0" b="1270"/>
                  <wp:docPr id="1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gridSpan w:val="2"/>
            <w:shd w:val="clear" w:color="auto" w:fill="auto"/>
            <w:noWrap w:val="0"/>
            <w:vAlign w:val="top"/>
          </w:tcPr>
          <w:p w14:paraId="673EA644">
            <w:pPr>
              <w:spacing w:line="360" w:lineRule="auto"/>
              <w:rPr>
                <w:rFonts w:hint="default" w:ascii="Times New Roman" w:hAnsi="Times New Roman" w:eastAsia="宋体" w:cs="Times New Roman"/>
                <w:color w:val="auto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2551430" cy="1649730"/>
                  <wp:effectExtent l="0" t="0" r="1270" b="7620"/>
                  <wp:docPr id="11" name="图片 8" descr="673A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 descr="673A24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A0E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2" w:type="dxa"/>
            <w:gridSpan w:val="2"/>
            <w:shd w:val="clear" w:color="auto" w:fill="auto"/>
            <w:noWrap w:val="0"/>
            <w:vAlign w:val="top"/>
          </w:tcPr>
          <w:p w14:paraId="360B21F0">
            <w:pPr>
              <w:rPr>
                <w:rFonts w:hint="default" w:ascii="Times New Roman" w:hAnsi="Times New Roman" w:eastAsia="宋体" w:cs="Times New Roman"/>
                <w:color w:val="auto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2604135" cy="1711325"/>
                  <wp:effectExtent l="0" t="0" r="5715" b="3175"/>
                  <wp:docPr id="9" name="图片 9" descr="507158d9b6968635a8aa7a13459aa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07158d9b6968635a8aa7a13459aa3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gridSpan w:val="2"/>
            <w:shd w:val="clear" w:color="auto" w:fill="auto"/>
            <w:noWrap w:val="0"/>
            <w:vAlign w:val="top"/>
          </w:tcPr>
          <w:p w14:paraId="3BEBF5E6">
            <w:pPr>
              <w:rPr>
                <w:rFonts w:hint="default" w:ascii="Times New Roman" w:hAnsi="Times New Roman" w:eastAsia="宋体" w:cs="Times New Roman"/>
                <w:color w:val="auto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drawing>
                <wp:inline distT="0" distB="0" distL="114300" distR="114300">
                  <wp:extent cx="2541270" cy="1682115"/>
                  <wp:effectExtent l="0" t="0" r="1905" b="3810"/>
                  <wp:docPr id="13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EE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2" w:type="dxa"/>
            <w:gridSpan w:val="2"/>
            <w:shd w:val="clear" w:color="auto" w:fill="auto"/>
            <w:noWrap w:val="0"/>
            <w:vAlign w:val="top"/>
          </w:tcPr>
          <w:p w14:paraId="33677B7F">
            <w:pPr>
              <w:rPr>
                <w:rFonts w:hint="default" w:ascii="Times New Roman" w:hAnsi="Times New Roman" w:eastAsia="宋体" w:cs="Times New Roman"/>
                <w:color w:val="auto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instrText xml:space="preserve">INCLUDEPICTURE \d "https://mmbiz.qpic.cn/sz_mmbiz_jpg/yYvLibqraQv1jScBm4HrsskQXz2xlnana87ncxIc4EWA2rJA3FPRTTBo1Z4Xb4cZX8jw8Z3WTMpm3YSSqPviaErg/640?wx_fmt=jpeg&amp;from=appmsg&amp;tp=webp&amp;wxfrom=5&amp;wx_lazy=1&amp;wx_co=1" \* MERGEFORMATINET </w:instrTex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drawing>
                <wp:inline distT="0" distB="0" distL="114300" distR="114300">
                  <wp:extent cx="2592070" cy="1454785"/>
                  <wp:effectExtent l="0" t="0" r="8255" b="2540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220" w:type="dxa"/>
            <w:gridSpan w:val="2"/>
            <w:shd w:val="clear" w:color="auto" w:fill="auto"/>
            <w:noWrap w:val="0"/>
            <w:vAlign w:val="top"/>
          </w:tcPr>
          <w:p w14:paraId="512F4F1C">
            <w:pP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36190" cy="1426210"/>
                  <wp:effectExtent l="0" t="0" r="6985" b="2540"/>
                  <wp:docPr id="12" name="图片 12" descr="da1936cce432b6ab50bd518e7ab9a3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a1936cce432b6ab50bd518e7ab9a37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0BA2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  <w:shd w:val="clear" w:color="auto" w:fill="auto"/>
            <w:noWrap w:val="0"/>
            <w:vAlign w:val="top"/>
          </w:tcPr>
          <w:p w14:paraId="46FE2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highlight w:val="none"/>
                <w:lang w:val="en-US" w:eastAsia="zh-CN"/>
              </w:rPr>
              <w:t>图1-</w:t>
            </w:r>
            <w:r>
              <w:rPr>
                <w:rFonts w:hint="default" w:ascii="Times New Roman" w:hAnsi="Times New Roman" w:eastAsia="宋体" w:cs="Times New Roman"/>
                <w:b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11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highlight w:val="none"/>
                <w:lang w:val="en-US" w:eastAsia="zh-CN"/>
              </w:rPr>
              <w:t xml:space="preserve"> 部沟通现场</w:t>
            </w:r>
          </w:p>
        </w:tc>
      </w:tr>
    </w:tbl>
    <w:p w14:paraId="0655D4B6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11" w:name="_Toc15424"/>
      <w:r>
        <w:t>社会责任方针与管理体系</w:t>
      </w:r>
      <w:bookmarkEnd w:id="11"/>
    </w:p>
    <w:p w14:paraId="28458B30">
      <w:pPr>
        <w:pStyle w:val="4"/>
        <w:widowControl/>
        <w:numPr>
          <w:ilvl w:val="0"/>
          <w:numId w:val="4"/>
        </w:numPr>
        <w:shd w:val="clear" w:fill="FFFFFF"/>
        <w:ind w:left="0" w:leftChars="0" w:firstLine="0" w:firstLineChars="0"/>
        <w:rPr>
          <w:b w:val="0"/>
        </w:rPr>
      </w:pPr>
      <w:bookmarkStart w:id="12" w:name="_Toc1968"/>
      <w:r>
        <w:t>社会责任方针</w:t>
      </w:r>
      <w:bookmarkEnd w:id="12"/>
    </w:p>
    <w:p w14:paraId="41D45A4F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公司秉持“勤奋、务实、真诚、感恩”的核心价值观，以“与世界分享阳光价值”为使命，确立以下社会责任方针：</w:t>
      </w:r>
    </w:p>
    <w:p w14:paraId="380A6F6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合规经营：严格遵守国家法律法规和行业规范，诚信经营，依法纳税；</w:t>
      </w:r>
    </w:p>
    <w:p w14:paraId="17711569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以人为本：保障员工合法权益，促进员工全面发展，营造安全健康的工作环境；</w:t>
      </w:r>
    </w:p>
    <w:p w14:paraId="1B65E492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绿色发展：践行生态文明理念，推进节能减排，建设环境友好型企业；</w:t>
      </w:r>
    </w:p>
    <w:p w14:paraId="6B258520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品质至上：持续提升产品质量和服务水平，为顾客创造价值；</w:t>
      </w:r>
    </w:p>
    <w:p w14:paraId="566648A4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回馈社会：积极参与公益事业，助力社区发展，履行企业公民责任。</w:t>
      </w:r>
    </w:p>
    <w:p w14:paraId="0B45CB1D">
      <w:pPr>
        <w:pStyle w:val="4"/>
        <w:widowControl/>
        <w:numPr>
          <w:ilvl w:val="0"/>
          <w:numId w:val="4"/>
        </w:numPr>
        <w:shd w:val="clear" w:fill="FFFFFF"/>
        <w:ind w:left="0" w:leftChars="0" w:firstLine="0" w:firstLineChars="0"/>
        <w:rPr>
          <w:b w:val="0"/>
        </w:rPr>
      </w:pPr>
      <w:bookmarkStart w:id="13" w:name="_Toc28101"/>
      <w:r>
        <w:t>管理体系融合</w:t>
      </w:r>
      <w:bookmarkEnd w:id="13"/>
    </w:p>
    <w:p w14:paraId="5ADE5BA4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i w:val="0"/>
          <w:color w:val="0F11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公司已建立并有效运行以下管理体系：ISO 9001质量管理体系</w:t>
      </w:r>
      <w:r>
        <w:rPr>
          <w:rFonts w:hint="eastAsia" w:ascii="Times New Roman" w:hAnsi="Times New Roman" w:eastAsia="宋体" w:cs="Times New Roman"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ISO 14001环境管理体系</w:t>
      </w:r>
      <w:r>
        <w:rPr>
          <w:rFonts w:hint="eastAsia" w:ascii="Times New Roman" w:hAnsi="Times New Roman" w:eastAsia="宋体" w:cs="Times New Roman"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ISO 45001职业健康安全管理体系</w:t>
      </w:r>
      <w:r>
        <w:rPr>
          <w:rFonts w:hint="eastAsia" w:ascii="Times New Roman" w:hAnsi="Times New Roman" w:eastAsia="宋体" w:cs="Times New Roman"/>
          <w:i w:val="0"/>
          <w:color w:val="0F1115"/>
          <w:sz w:val="24"/>
          <w:szCs w:val="24"/>
          <w:lang w:eastAsia="zh-CN"/>
        </w:rPr>
        <w:t>。</w:t>
      </w:r>
    </w:p>
    <w:p w14:paraId="6FBB7056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公司以卓越绩效管理模式为框架，将社会责任要求融入现有管理体系，实现管理体系的一体化运行。</w:t>
      </w:r>
    </w:p>
    <w:p w14:paraId="06CA2B5A">
      <w:pPr>
        <w:pStyle w:val="4"/>
        <w:widowControl/>
        <w:numPr>
          <w:ilvl w:val="0"/>
          <w:numId w:val="4"/>
        </w:numPr>
        <w:shd w:val="clear" w:fill="FFFFFF"/>
        <w:ind w:left="0" w:leftChars="0" w:firstLine="0" w:firstLineChars="0"/>
        <w:rPr>
          <w:b w:val="0"/>
        </w:rPr>
      </w:pPr>
      <w:bookmarkStart w:id="14" w:name="_Toc24587"/>
      <w:r>
        <w:t>社会责任风险管控</w:t>
      </w:r>
      <w:bookmarkEnd w:id="14"/>
    </w:p>
    <w:p w14:paraId="5635FC0E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公司构建了全面风险管理体系，通过“三道防线”机制识别和管控社会责任相关风险：</w:t>
      </w:r>
    </w:p>
    <w:p w14:paraId="1E600D4A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  <w:t>构建了风险管理三道防线：</w:t>
      </w:r>
    </w:p>
    <w:p w14:paraId="173918D0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  <w:t>第一道防线——公司各部门。公司各部门是风险管理的第一道防线，第一道防线是最先与风险源接触的单位，在日常经营活动中有及时识别、上报与初步管理风险的职责，是事前控制风险的关键。</w:t>
      </w:r>
    </w:p>
    <w:p w14:paraId="766FA4B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  <w:t>第二道防线——风险管理职能部门。风险管理职能部门构成风险管理的第二道防线，主要负责营造公司的风险管理环境，建立对风险的统一认识，促进第一道防线对风险实施合理有效的管控。第二道防线主要负责风险管理工作的统筹组织、协调与规划，并对第一道防线的风险管理工作、内部控制开展情况进行实时监控，为风险相关的事务提供专业知识、支持、监督并提出合理质疑，同时承担重大风险的核心管理与组织职责，是事中控制风险的关键。</w:t>
      </w:r>
    </w:p>
    <w:p w14:paraId="1F2AD31D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  <w:t>第三道防线——财务部审计小组。财务部审计小组是风险管理第三道防线，主要职责是对公司风险与控制的有效性进行独立监督与评价。监督目的在于以风险为导向，对重点风险领域开展检查，揭示重大违法违规问题和重大风险，对风险总体情况进行再评估。</w:t>
      </w:r>
    </w:p>
    <w:p w14:paraId="33A01761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b w:val="0"/>
          <w:bCs/>
        </w:rPr>
      </w:pPr>
      <w:r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  <w:t>第三道防线不直接参与公司任何经营活动，主要负责对第一、二道防线的管理措施和效果进行再评估、再监督，对公司内部控制管理进行查漏补缺、深入揭示和严肃追责，促进政策制度贯彻执行有效性，改善运营，控制风险。</w:t>
      </w:r>
    </w:p>
    <w:p w14:paraId="68B8B913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公司通过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PEST分析、SWOT分析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等方法定期评估内外部环境变化，识别社会责任相关的风险和机遇。</w:t>
      </w:r>
    </w:p>
    <w:p w14:paraId="3B395334">
      <w:pPr>
        <w:pStyle w:val="12"/>
        <w:widowControl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highlight w:val="none"/>
        </w:rPr>
        <w:drawing>
          <wp:inline distT="0" distB="0" distL="114300" distR="114300">
            <wp:extent cx="4862195" cy="2552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FC67">
      <w:pPr>
        <w:pStyle w:val="12"/>
        <w:widowControl/>
        <w:jc w:val="center"/>
        <w:rPr>
          <w:rFonts w:hint="default" w:ascii="Times New Roman" w:hAnsi="Times New Roman" w:eastAsia="宋体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highlight w:val="none"/>
        </w:rPr>
        <w:t>明确内控与风险管理体系建设方向</w:t>
      </w:r>
    </w:p>
    <w:p w14:paraId="1F9A4E6A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15" w:name="_Toc25242"/>
      <w:r>
        <w:t>组织治理</w:t>
      </w:r>
      <w:bookmarkEnd w:id="15"/>
    </w:p>
    <w:p w14:paraId="020B6923">
      <w:pPr>
        <w:pStyle w:val="4"/>
        <w:widowControl/>
        <w:numPr>
          <w:ilvl w:val="0"/>
          <w:numId w:val="5"/>
        </w:numPr>
        <w:shd w:val="clear" w:fill="FFFFFF"/>
        <w:ind w:left="0" w:leftChars="0" w:firstLine="0" w:firstLineChars="0"/>
        <w:rPr>
          <w:b w:val="0"/>
        </w:rPr>
      </w:pPr>
      <w:bookmarkStart w:id="16" w:name="_Toc14841"/>
      <w:r>
        <w:t>治理结构</w:t>
      </w:r>
      <w:bookmarkEnd w:id="16"/>
    </w:p>
    <w:p w14:paraId="3AA34AC6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实行董事会领导下的总经理负责制，依法设立股东大会、董事会、监事会和法人治理结构。《公司章程》对股东大会、董事会、监事会、管理层的责、权、利作了明确规定，各机构之间相互独立、相互制衡，确保公司合法高效运营。</w:t>
      </w:r>
    </w:p>
    <w:p w14:paraId="01B41865">
      <w:pPr>
        <w:pStyle w:val="12"/>
        <w:widowControl/>
        <w:jc w:val="center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405505" cy="1583690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BF37">
      <w:pPr>
        <w:pStyle w:val="4"/>
        <w:widowControl/>
        <w:numPr>
          <w:ilvl w:val="0"/>
          <w:numId w:val="5"/>
        </w:numPr>
        <w:shd w:val="clear" w:fill="FFFFFF"/>
        <w:ind w:left="0" w:leftChars="0" w:firstLine="0" w:firstLineChars="0"/>
        <w:rPr>
          <w:b w:val="0"/>
        </w:rPr>
      </w:pPr>
      <w:bookmarkStart w:id="17" w:name="_Toc5413"/>
      <w:r>
        <w:t>合规与道德管理</w:t>
      </w:r>
      <w:bookmarkEnd w:id="17"/>
    </w:p>
    <w:p w14:paraId="6209786F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严格遵守《公司法》《会计法》《民法典》《产品质量法》等法律法规。高层领导带头学法守法，设立专门法务部负责法治工作，通过“法庭旁听”“法制宣传栏”“法律知识竞赛”等多种形式开展普法教育。</w:t>
      </w:r>
    </w:p>
    <w:p w14:paraId="37F3F47F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在商业往来中，公司通过协议条款体现诚信准则，严格遵守合同，公开服务承诺，接受相关方监督。公司建立严格的供应商准入及评估制度，对出现诚信问题的供应商列入失信黑名单。</w:t>
      </w:r>
    </w:p>
    <w:p w14:paraId="78DB1E0B">
      <w:pPr>
        <w:pStyle w:val="4"/>
        <w:widowControl/>
        <w:numPr>
          <w:ilvl w:val="0"/>
          <w:numId w:val="5"/>
        </w:numPr>
        <w:shd w:val="clear" w:fill="FFFFFF"/>
        <w:ind w:left="0" w:leftChars="0" w:firstLine="0" w:firstLineChars="0"/>
        <w:rPr>
          <w:b w:val="0"/>
        </w:rPr>
      </w:pPr>
      <w:bookmarkStart w:id="18" w:name="_Toc9332"/>
      <w:r>
        <w:t>透明与信息披露</w:t>
      </w:r>
      <w:bookmarkEnd w:id="18"/>
    </w:p>
    <w:p w14:paraId="2B41A5D1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公司建立完备的信息披露体系：</w:t>
      </w:r>
    </w:p>
    <w:p w14:paraId="7553D0E0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对外披露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：通过向政府统计部门报送信息、定期公告、年度报告等方式确保信息披露的及时性；</w:t>
      </w:r>
    </w:p>
    <w:p w14:paraId="37C3E80D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对内沟通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：通过OA系统、行政例会、员工大会等形式向员工公布公司经营状况；</w:t>
      </w:r>
    </w:p>
    <w:p w14:paraId="56F5DA70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外部审计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：公司聘请独立会计师事务所进行外部审计，连续三年出具无保留意见审计报告。</w:t>
      </w:r>
    </w:p>
    <w:p w14:paraId="5578A3D8">
      <w:pPr>
        <w:pStyle w:val="4"/>
        <w:widowControl/>
        <w:numPr>
          <w:ilvl w:val="0"/>
          <w:numId w:val="5"/>
        </w:numPr>
        <w:shd w:val="clear" w:fill="FFFFFF"/>
        <w:ind w:left="0" w:leftChars="0" w:firstLine="0" w:firstLineChars="0"/>
        <w:rPr>
          <w:b w:val="0"/>
        </w:rPr>
      </w:pPr>
      <w:bookmarkStart w:id="19" w:name="_Toc1532"/>
      <w:r>
        <w:t>反腐败与廉洁管理</w:t>
      </w:r>
      <w:bookmarkEnd w:id="19"/>
    </w:p>
    <w:p w14:paraId="0AB2713C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公司制定领导干部廉洁从业若干规定，对高层领导进行民主测评，对中层领导进行“德、能、勤、绩、廉”360度考核。定期开展廉政教育，防范过程廉政风险。公司连续三年未发生违纪违法事件。</w:t>
      </w:r>
    </w:p>
    <w:tbl>
      <w:tblPr>
        <w:tblStyle w:val="20"/>
        <w:tblW w:w="4935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1564"/>
        <w:gridCol w:w="1788"/>
        <w:gridCol w:w="1792"/>
        <w:gridCol w:w="2209"/>
      </w:tblGrid>
      <w:tr w14:paraId="66BE6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tblHeader/>
        </w:trPr>
        <w:tc>
          <w:tcPr>
            <w:tcW w:w="629" w:type="pct"/>
            <w:tcBorders>
              <w:top w:val="single" w:color="4F81BD" w:sz="12" w:space="0"/>
              <w:left w:val="single" w:color="4F81BD" w:sz="12" w:space="0"/>
              <w:bottom w:val="single" w:color="4F81BD" w:sz="4" w:space="0"/>
              <w:right w:val="single" w:color="4F81BD" w:sz="4" w:space="0"/>
              <w:tl2br w:val="nil"/>
            </w:tcBorders>
            <w:shd w:val="clear" w:color="auto" w:fill="95B4D8"/>
            <w:noWrap w:val="0"/>
            <w:vAlign w:val="center"/>
          </w:tcPr>
          <w:p w14:paraId="2A4AFF74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  <w:t>监督</w:t>
            </w:r>
          </w:p>
          <w:p w14:paraId="45A6DB63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  <w:t>对象</w:t>
            </w:r>
          </w:p>
        </w:tc>
        <w:tc>
          <w:tcPr>
            <w:tcW w:w="930" w:type="pct"/>
            <w:tcBorders>
              <w:top w:val="single" w:color="4F81BD" w:sz="12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95B4D8"/>
            <w:noWrap w:val="0"/>
            <w:vAlign w:val="center"/>
          </w:tcPr>
          <w:p w14:paraId="154D7B0B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  <w:t>监督过程</w:t>
            </w:r>
          </w:p>
        </w:tc>
        <w:tc>
          <w:tcPr>
            <w:tcW w:w="1063" w:type="pct"/>
            <w:tcBorders>
              <w:top w:val="single" w:color="4F81BD" w:sz="12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95B4D8"/>
            <w:noWrap w:val="0"/>
            <w:vAlign w:val="center"/>
          </w:tcPr>
          <w:p w14:paraId="4F1F9EC6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  <w:t>监督部门</w:t>
            </w:r>
          </w:p>
        </w:tc>
        <w:tc>
          <w:tcPr>
            <w:tcW w:w="1065" w:type="pct"/>
            <w:tcBorders>
              <w:top w:val="single" w:color="4F81BD" w:sz="12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95B4D8"/>
            <w:noWrap w:val="0"/>
            <w:vAlign w:val="center"/>
          </w:tcPr>
          <w:p w14:paraId="49B05780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  <w:t>测量方法</w:t>
            </w:r>
          </w:p>
        </w:tc>
        <w:tc>
          <w:tcPr>
            <w:tcW w:w="1313" w:type="pct"/>
            <w:tcBorders>
              <w:top w:val="single" w:color="4F81BD" w:sz="12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95B4D8"/>
            <w:noWrap w:val="0"/>
            <w:vAlign w:val="center"/>
          </w:tcPr>
          <w:p w14:paraId="305C006A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snapToGrid/>
                <w:color w:val="000000"/>
                <w:kern w:val="2"/>
                <w:sz w:val="21"/>
                <w:szCs w:val="21"/>
              </w:rPr>
              <w:t>测量指标</w:t>
            </w:r>
          </w:p>
        </w:tc>
      </w:tr>
      <w:tr w14:paraId="59A22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629" w:type="pct"/>
            <w:vMerge w:val="restart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32A1A159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高层</w:t>
            </w:r>
          </w:p>
        </w:tc>
        <w:tc>
          <w:tcPr>
            <w:tcW w:w="930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715C4013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公司治理结构</w:t>
            </w: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242FDD0B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股东会、监事会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4CAE50E4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会议、检查、公报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1663C589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全部符合相关法律法规要求</w:t>
            </w:r>
          </w:p>
        </w:tc>
      </w:tr>
      <w:tr w14:paraId="6A995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vMerge w:val="continue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5C7AF93F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0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7D414FC6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勤政、廉政</w:t>
            </w: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07E301B8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审计及上级有关部门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039C1331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投诉举报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5414DA51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违纪违法事件为零</w:t>
            </w:r>
          </w:p>
        </w:tc>
      </w:tr>
      <w:tr w14:paraId="667B6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vMerge w:val="restart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532D7C56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中层</w:t>
            </w:r>
          </w:p>
        </w:tc>
        <w:tc>
          <w:tcPr>
            <w:tcW w:w="930" w:type="pct"/>
            <w:vMerge w:val="restar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3BC3871E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管理行为的公正性</w:t>
            </w: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33C08E2E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公司审计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07173BD9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内部审计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05EDA736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重大经营活动无违规</w:t>
            </w:r>
          </w:p>
        </w:tc>
      </w:tr>
      <w:tr w14:paraId="195F8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vMerge w:val="continue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248ACFD3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0" w:type="pct"/>
            <w:vMerge w:val="continue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138E478F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02F47B46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公司合作伙伴和顾客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066D6EFF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满意度测评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2594240D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顾客满意度85分以上</w:t>
            </w:r>
          </w:p>
        </w:tc>
      </w:tr>
      <w:tr w14:paraId="564FD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vMerge w:val="continue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3F7B9D38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0" w:type="pct"/>
            <w:vMerge w:val="continue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405A6FD5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5E8945A6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公司员工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511B86FA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满意度测评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42164B2F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员工满意度 70分以上</w:t>
            </w:r>
          </w:p>
        </w:tc>
      </w:tr>
      <w:tr w14:paraId="662B0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vMerge w:val="continue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4A598632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0" w:type="pct"/>
            <w:vMerge w:val="restar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32DC3AB1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生产经营活动的规范性</w:t>
            </w: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16B677D8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税务部门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543B6B59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税务检查及评价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2FBAD10D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依法纳税</w:t>
            </w:r>
          </w:p>
        </w:tc>
      </w:tr>
      <w:tr w14:paraId="6CCD3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vMerge w:val="continue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14E84C19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0" w:type="pct"/>
            <w:vMerge w:val="continue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7DF6DABA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3DF35566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银行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5356764D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银行信用评价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14F1531D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按时还贷</w:t>
            </w:r>
          </w:p>
        </w:tc>
      </w:tr>
      <w:tr w14:paraId="714AA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vMerge w:val="continue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0DE738E0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0" w:type="pct"/>
            <w:vMerge w:val="continue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0140CC86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3E1F15DC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有关主管部门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5A78369B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财务检查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1339922D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财务报表100%真实</w:t>
            </w:r>
          </w:p>
        </w:tc>
      </w:tr>
      <w:tr w14:paraId="6E4C8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vMerge w:val="continue"/>
            <w:tcBorders>
              <w:top w:val="single" w:color="4F81BD" w:sz="4" w:space="0"/>
              <w:left w:val="single" w:color="4F81BD" w:sz="12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5CDF894A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0" w:type="pct"/>
            <w:vMerge w:val="continue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74949CAB">
            <w:pPr>
              <w:autoSpaceDE/>
              <w:autoSpaceDN/>
              <w:snapToGrid/>
              <w:spacing w:line="240" w:lineRule="auto"/>
              <w:ind w:firstLine="36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1550F991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合作伙伴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07D344CF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合同兑现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4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3F5FB60F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合同兑现率100%</w:t>
            </w:r>
          </w:p>
        </w:tc>
      </w:tr>
      <w:tr w14:paraId="1FF6B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29" w:type="pct"/>
            <w:tcBorders>
              <w:top w:val="single" w:color="4F81BD" w:sz="4" w:space="0"/>
              <w:left w:val="single" w:color="4F81BD" w:sz="12" w:space="0"/>
              <w:bottom w:val="single" w:color="4F81BD" w:sz="12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37217FBD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基层</w:t>
            </w:r>
          </w:p>
        </w:tc>
        <w:tc>
          <w:tcPr>
            <w:tcW w:w="930" w:type="pct"/>
            <w:tcBorders>
              <w:top w:val="single" w:color="4F81BD" w:sz="4" w:space="0"/>
              <w:left w:val="single" w:color="4F81BD" w:sz="4" w:space="0"/>
              <w:bottom w:val="single" w:color="4F81BD" w:sz="12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648ED929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日常行为</w:t>
            </w:r>
          </w:p>
        </w:tc>
        <w:tc>
          <w:tcPr>
            <w:tcW w:w="1063" w:type="pct"/>
            <w:tcBorders>
              <w:top w:val="single" w:color="4F81BD" w:sz="4" w:space="0"/>
              <w:left w:val="single" w:color="4F81BD" w:sz="4" w:space="0"/>
              <w:bottom w:val="single" w:color="4F81BD" w:sz="12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145D5A4A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  <w:highlight w:val="none"/>
                <w:lang w:val="en-US" w:eastAsia="zh-CN"/>
              </w:rPr>
              <w:t>党组织、工会、人事部、法律事务部</w:t>
            </w:r>
          </w:p>
        </w:tc>
        <w:tc>
          <w:tcPr>
            <w:tcW w:w="1065" w:type="pct"/>
            <w:tcBorders>
              <w:top w:val="single" w:color="4F81BD" w:sz="4" w:space="0"/>
              <w:left w:val="single" w:color="4F81BD" w:sz="4" w:space="0"/>
              <w:bottom w:val="single" w:color="4F81BD" w:sz="12" w:space="0"/>
              <w:right w:val="single" w:color="4F81BD" w:sz="4" w:space="0"/>
            </w:tcBorders>
            <w:shd w:val="clear" w:color="auto" w:fill="FFFFFF"/>
            <w:noWrap w:val="0"/>
            <w:vAlign w:val="center"/>
          </w:tcPr>
          <w:p w14:paraId="61441591"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违纪处理</w:t>
            </w:r>
          </w:p>
        </w:tc>
        <w:tc>
          <w:tcPr>
            <w:tcW w:w="1313" w:type="pct"/>
            <w:tcBorders>
              <w:top w:val="single" w:color="4F81BD" w:sz="4" w:space="0"/>
              <w:left w:val="single" w:color="4F81BD" w:sz="4" w:space="0"/>
              <w:bottom w:val="single" w:color="4F81BD" w:sz="12" w:space="0"/>
              <w:right w:val="single" w:color="4F81BD" w:sz="12" w:space="0"/>
            </w:tcBorders>
            <w:shd w:val="clear" w:color="auto" w:fill="FFFFFF"/>
            <w:noWrap w:val="0"/>
            <w:vAlign w:val="center"/>
          </w:tcPr>
          <w:p w14:paraId="16E1C0B8">
            <w:pPr>
              <w:autoSpaceDE/>
              <w:autoSpaceDN/>
              <w:snapToGrid/>
              <w:spacing w:line="240" w:lineRule="auto"/>
              <w:ind w:firstLine="0"/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snapToGrid/>
                <w:color w:val="000000"/>
                <w:kern w:val="2"/>
                <w:sz w:val="21"/>
                <w:szCs w:val="21"/>
              </w:rPr>
              <w:t>杜绝不文明行为</w:t>
            </w:r>
          </w:p>
        </w:tc>
      </w:tr>
    </w:tbl>
    <w:p w14:paraId="424BFF61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20" w:name="_Toc7478"/>
      <w:r>
        <w:t>人权保障</w:t>
      </w:r>
      <w:bookmarkEnd w:id="20"/>
    </w:p>
    <w:p w14:paraId="18B56A58">
      <w:pPr>
        <w:pStyle w:val="4"/>
        <w:widowControl/>
        <w:numPr>
          <w:ilvl w:val="0"/>
          <w:numId w:val="6"/>
        </w:numPr>
        <w:shd w:val="clear" w:fill="FFFFFF"/>
        <w:ind w:left="0" w:leftChars="0" w:firstLine="0" w:firstLineChars="0"/>
        <w:rPr>
          <w:b w:val="0"/>
        </w:rPr>
      </w:pPr>
      <w:bookmarkStart w:id="21" w:name="_Toc9606"/>
      <w:r>
        <w:t>基本原则</w:t>
      </w:r>
      <w:bookmarkEnd w:id="21"/>
    </w:p>
    <w:p w14:paraId="484294C4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公司严格遵守《劳动法》《劳动合同法》《就业促进法》等法律法规，坚决反对任何形式的就业歧视，禁止使用童工和强迫劳动。</w:t>
      </w:r>
    </w:p>
    <w:p w14:paraId="39D40577">
      <w:pPr>
        <w:pStyle w:val="4"/>
        <w:widowControl/>
        <w:numPr>
          <w:ilvl w:val="0"/>
          <w:numId w:val="6"/>
        </w:numPr>
        <w:shd w:val="clear" w:fill="FFFFFF"/>
        <w:ind w:left="0" w:leftChars="0" w:firstLine="0" w:firstLineChars="0"/>
        <w:rPr>
          <w:b w:val="0"/>
        </w:rPr>
      </w:pPr>
      <w:bookmarkStart w:id="22" w:name="_Toc24148"/>
      <w:r>
        <w:t>平等就业与反歧视</w:t>
      </w:r>
      <w:bookmarkEnd w:id="22"/>
    </w:p>
    <w:p w14:paraId="13DBAF0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公司坚持“广纳任贤，公平公开”的人才观，在招聘、晋升、薪酬等方面杜绝性别、年龄、地域等歧视。公司通过校园招聘、网络招聘、猎头公司、内部推荐等多种渠道广纳人才。企业女工占比达65%。</w:t>
      </w:r>
    </w:p>
    <w:p w14:paraId="72FCEA52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highlight w:val="none"/>
        </w:rPr>
        <w:drawing>
          <wp:inline distT="0" distB="0" distL="114300" distR="114300">
            <wp:extent cx="2327275" cy="1637665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auto"/>
          <w:sz w:val="21"/>
          <w:szCs w:val="21"/>
          <w:highlight w:val="none"/>
          <w:vertAlign w:val="baseline"/>
          <w:lang w:val="en-US" w:eastAsia="zh-CN"/>
        </w:rPr>
        <w:drawing>
          <wp:inline distT="0" distB="0" distL="114300" distR="114300">
            <wp:extent cx="2156460" cy="1600835"/>
            <wp:effectExtent l="0" t="0" r="5715" b="8890"/>
            <wp:docPr id="4" name="图片 4" descr="4566d5faa36725bdd8833990c777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66d5faa36725bdd8833990c777ea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A5F1">
      <w:pPr>
        <w:pStyle w:val="4"/>
        <w:widowControl/>
        <w:numPr>
          <w:ilvl w:val="0"/>
          <w:numId w:val="6"/>
        </w:numPr>
        <w:shd w:val="clear" w:fill="FFFFFF"/>
        <w:ind w:left="0" w:leftChars="0" w:firstLine="0" w:firstLineChars="0"/>
        <w:rPr>
          <w:b w:val="0"/>
        </w:rPr>
      </w:pPr>
      <w:bookmarkStart w:id="23" w:name="_Toc19357"/>
      <w:r>
        <w:t>禁止使用童工与强迫劳动</w:t>
      </w:r>
      <w:bookmarkEnd w:id="23"/>
    </w:p>
    <w:p w14:paraId="7CC9FD11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公司严格遵守《禁止使用童工规定》，在招聘环节严格审核应聘者年龄信息，确保不雇用未满法定工作年龄的人员。所有劳动关系均基于自愿原则建立，不存在任何形式的强迫劳动。</w:t>
      </w:r>
    </w:p>
    <w:p w14:paraId="2D5C05C9">
      <w:pPr>
        <w:pStyle w:val="4"/>
        <w:widowControl/>
        <w:numPr>
          <w:ilvl w:val="0"/>
          <w:numId w:val="6"/>
        </w:numPr>
        <w:shd w:val="clear" w:fill="FFFFFF"/>
        <w:ind w:left="0" w:leftChars="0" w:firstLine="0" w:firstLineChars="0"/>
        <w:rPr>
          <w:b w:val="0"/>
        </w:rPr>
      </w:pPr>
      <w:bookmarkStart w:id="24" w:name="_Toc21972"/>
      <w:r>
        <w:t>员工基本权益保障</w:t>
      </w:r>
      <w:bookmarkEnd w:id="24"/>
    </w:p>
    <w:p w14:paraId="66ABB837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依法与全体员工签订劳动合同，按规定为员工缴纳五险一金。近三年五险一金缴纳率保持100%。公司福利体系涵盖中长期激励、企业年金、大病基金、生日礼券、健康体检、各类津补贴、工作服、班车、困难人员补助等。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58"/>
        <w:gridCol w:w="1560"/>
        <w:gridCol w:w="1560"/>
        <w:gridCol w:w="1560"/>
      </w:tblGrid>
      <w:tr w14:paraId="581794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tblHeader/>
        </w:trPr>
        <w:tc>
          <w:tcPr>
            <w:tcW w:w="2227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DBF313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924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791C70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924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9B339F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924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9063B2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4CDF19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8" w:hRule="atLeast"/>
        </w:trPr>
        <w:tc>
          <w:tcPr>
            <w:tcW w:w="2227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9149FE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五险一金缴纳率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F0858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1BA0E8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D404F7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  <w:tr w14:paraId="5F238A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8" w:hRule="atLeast"/>
        </w:trPr>
        <w:tc>
          <w:tcPr>
            <w:tcW w:w="2227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8E637D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福利费用（万元）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45B5E5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23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09B07F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42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236875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65</w:t>
            </w:r>
          </w:p>
        </w:tc>
      </w:tr>
      <w:tr w14:paraId="55B5DF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6" w:hRule="atLeast"/>
        </w:trPr>
        <w:tc>
          <w:tcPr>
            <w:tcW w:w="2227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6E9CA6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员工活动经费（万元）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748182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2A07D0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924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BA7B7D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</w:tr>
    </w:tbl>
    <w:p w14:paraId="5E612B77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25" w:name="_Toc13673"/>
      <w:r>
        <w:t>劳工实践</w:t>
      </w:r>
      <w:bookmarkEnd w:id="25"/>
    </w:p>
    <w:p w14:paraId="0C8A2705">
      <w:pPr>
        <w:pStyle w:val="4"/>
        <w:widowControl/>
        <w:numPr>
          <w:ilvl w:val="0"/>
          <w:numId w:val="7"/>
        </w:numPr>
        <w:shd w:val="clear" w:fill="FFFFFF"/>
        <w:ind w:left="0" w:leftChars="0" w:firstLine="0" w:firstLineChars="0"/>
        <w:rPr>
          <w:b w:val="0"/>
        </w:rPr>
      </w:pPr>
      <w:bookmarkStart w:id="26" w:name="_Toc32430"/>
      <w:r>
        <w:t>员工雇佣与留任</w:t>
      </w:r>
      <w:bookmarkEnd w:id="26"/>
    </w:p>
    <w:p w14:paraId="1FE7B55A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</w:rPr>
        <w:t>公司员工总数从202</w:t>
      </w: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</w:rPr>
        <w:t>年的</w:t>
      </w: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  <w:lang w:val="en-US" w:eastAsia="zh-CN"/>
        </w:rPr>
        <w:t>178</w:t>
      </w: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</w:rPr>
        <w:t>人增长至202</w:t>
      </w: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</w:rPr>
        <w:t>年的</w:t>
      </w: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  <w:lang w:val="en-US" w:eastAsia="zh-CN"/>
        </w:rPr>
        <w:t>189</w:t>
      </w:r>
      <w:r>
        <w:rPr>
          <w:rFonts w:hint="eastAsia" w:asciiTheme="minorEastAsia" w:hAnsiTheme="minorEastAsia" w:eastAsiaTheme="minorEastAsia" w:cstheme="minorEastAsia"/>
          <w:i w:val="0"/>
          <w:color w:val="0F1115"/>
          <w:sz w:val="24"/>
          <w:szCs w:val="24"/>
        </w:rPr>
        <w:t>人。关键员工流失率逐年下降，远低于行业平均水平：</w:t>
      </w:r>
    </w:p>
    <w:tbl>
      <w:tblPr>
        <w:tblStyle w:val="20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547"/>
        <w:gridCol w:w="2446"/>
        <w:gridCol w:w="2446"/>
      </w:tblGrid>
      <w:tr w14:paraId="4B8E9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tblHeader/>
          <w:jc w:val="center"/>
        </w:trPr>
        <w:tc>
          <w:tcPr>
            <w:tcW w:w="2101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B4EEB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1449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4B490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1449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347B8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6F38D8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2101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1F828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关键员工流失率</w:t>
            </w:r>
          </w:p>
        </w:tc>
        <w:tc>
          <w:tcPr>
            <w:tcW w:w="14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67821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0.5%</w:t>
            </w:r>
          </w:p>
        </w:tc>
        <w:tc>
          <w:tcPr>
            <w:tcW w:w="14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66B6B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0.4%</w:t>
            </w:r>
          </w:p>
        </w:tc>
      </w:tr>
      <w:tr w14:paraId="3C70F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2101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0C52F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bookmarkStart w:id="54" w:name="_GoBack" w:colFirst="1" w:colLast="2"/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员工总人数</w:t>
            </w:r>
          </w:p>
        </w:tc>
        <w:tc>
          <w:tcPr>
            <w:tcW w:w="14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0CEEB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178人</w:t>
            </w:r>
          </w:p>
        </w:tc>
        <w:tc>
          <w:tcPr>
            <w:tcW w:w="14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0A945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189人</w:t>
            </w:r>
          </w:p>
        </w:tc>
      </w:tr>
      <w:tr w14:paraId="70426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  <w:jc w:val="center"/>
        </w:trPr>
        <w:tc>
          <w:tcPr>
            <w:tcW w:w="2101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84742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管理人员数</w:t>
            </w:r>
          </w:p>
        </w:tc>
        <w:tc>
          <w:tcPr>
            <w:tcW w:w="1449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96EF8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37人</w:t>
            </w:r>
          </w:p>
        </w:tc>
        <w:tc>
          <w:tcPr>
            <w:tcW w:w="1449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D3761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39人</w:t>
            </w:r>
          </w:p>
        </w:tc>
      </w:tr>
      <w:bookmarkEnd w:id="54"/>
    </w:tbl>
    <w:p w14:paraId="0D9929FF">
      <w:pPr>
        <w:pStyle w:val="4"/>
        <w:widowControl/>
        <w:numPr>
          <w:ilvl w:val="0"/>
          <w:numId w:val="7"/>
        </w:numPr>
        <w:shd w:val="clear" w:fill="FFFFFF"/>
        <w:ind w:left="0" w:leftChars="0" w:firstLine="0" w:firstLineChars="0"/>
        <w:rPr>
          <w:b w:val="0"/>
        </w:rPr>
      </w:pPr>
      <w:bookmarkStart w:id="27" w:name="_Toc703"/>
      <w:r>
        <w:t>职业健康与安全</w:t>
      </w:r>
      <w:bookmarkEnd w:id="27"/>
    </w:p>
    <w:p w14:paraId="4DE06748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公司通过ISO 45001职业健康安全管理体系认证。公司落实职业卫生“三同时”管理措施，为员工合理配备劳动保护用品，定期安排职业健康体检。</w:t>
      </w:r>
    </w:p>
    <w:p w14:paraId="01F2B75F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安全生产绩效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：</w:t>
      </w:r>
    </w:p>
    <w:tbl>
      <w:tblPr>
        <w:tblStyle w:val="20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66"/>
        <w:gridCol w:w="1891"/>
        <w:gridCol w:w="1891"/>
        <w:gridCol w:w="1891"/>
      </w:tblGrid>
      <w:tr w14:paraId="48180D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638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4254AF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1120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92CE2F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1120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03940F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1120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7C0650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25AB9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C1F8B6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重大安全事故数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BE6481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84F06C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06860A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  <w:tr w14:paraId="09F56A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9C7241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安全责任落实率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CB51ED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397D95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E67E7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  <w:tr w14:paraId="0D785A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8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1908C5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千人工伤率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B58C62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0‰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01FF26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0‰</w:t>
            </w:r>
          </w:p>
        </w:tc>
        <w:tc>
          <w:tcPr>
            <w:tcW w:w="1120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E17840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0‰</w:t>
            </w:r>
          </w:p>
        </w:tc>
      </w:tr>
    </w:tbl>
    <w:p w14:paraId="5B3722BC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公司每年组织消防实战演习和应急预案演练。车间实行24小时恒温控制，为生产员工创造舒适的工作环境。</w:t>
      </w:r>
    </w:p>
    <w:p w14:paraId="0911B3F0">
      <w:pPr>
        <w:pStyle w:val="4"/>
        <w:widowControl/>
        <w:numPr>
          <w:ilvl w:val="0"/>
          <w:numId w:val="7"/>
        </w:numPr>
        <w:shd w:val="clear" w:fill="FFFFFF"/>
        <w:ind w:left="0" w:leftChars="0" w:firstLine="0" w:firstLineChars="0"/>
        <w:rPr>
          <w:b w:val="0"/>
        </w:rPr>
      </w:pPr>
      <w:bookmarkStart w:id="28" w:name="_Toc20251"/>
      <w:r>
        <w:t>员工培训与发展</w:t>
      </w:r>
      <w:bookmarkEnd w:id="28"/>
    </w:p>
    <w:p w14:paraId="028C3A37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公司建立了完善的教育培训体系，涵盖入职培训、上岗培训、在职培训、学历教育等。针对不同层级员工分别实施：</w:t>
      </w:r>
    </w:p>
    <w:p w14:paraId="2F403265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b w:val="0"/>
          <w:bCs/>
        </w:rPr>
      </w:pPr>
      <w:r>
        <w:rPr>
          <w:rFonts w:hint="eastAsia" w:ascii="Times New Roman" w:hAnsi="Times New Roman" w:eastAsia="宋体" w:cs="Times New Roman"/>
          <w:b/>
          <w:bCs w:val="0"/>
          <w:i w:val="0"/>
          <w:color w:val="0F1115"/>
          <w:sz w:val="24"/>
          <w:szCs w:val="24"/>
        </w:rPr>
        <w:t>高阶培训 （领航计划）</w:t>
      </w:r>
      <w:r>
        <w:rPr>
          <w:rFonts w:hint="eastAsia" w:cs="Times New Roman"/>
          <w:b/>
          <w:bCs w:val="0"/>
          <w:i w:val="0"/>
          <w:color w:val="0F1115"/>
          <w:sz w:val="24"/>
          <w:szCs w:val="24"/>
          <w:lang w:eastAsia="zh-CN"/>
        </w:rPr>
        <w:t>：</w:t>
      </w:r>
      <w:r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  <w:t xml:space="preserve">对于管理人员及各部门骨干人员，为系统的培训知识、技能，综合提升管理水平，公司开辟了高端学历提升通道以及MBA学习，为员工职业生涯发展奠定了良好的基础。同时定期安排人员参加行业研讨会，技术交流会，以及组织学习先进的管理体系构建和市场监管部门的各项政策法规。 </w:t>
      </w:r>
    </w:p>
    <w:p w14:paraId="5501C97A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 w:val="0"/>
          <w:i w:val="0"/>
          <w:color w:val="0F1115"/>
          <w:sz w:val="24"/>
          <w:szCs w:val="24"/>
        </w:rPr>
        <w:t>中阶培训（雏鹰计划）</w:t>
      </w:r>
      <w:r>
        <w:rPr>
          <w:rFonts w:hint="eastAsia" w:cs="Times New Roman"/>
          <w:b/>
          <w:bCs w:val="0"/>
          <w:i w:val="0"/>
          <w:color w:val="0F1115"/>
          <w:sz w:val="24"/>
          <w:szCs w:val="24"/>
          <w:lang w:eastAsia="zh-CN"/>
        </w:rPr>
        <w:t>：</w:t>
      </w:r>
      <w:r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  <w:t>中阶培训与学习主要应用于员工发展与提高，公司设计了专题培训与教育项目，实现组织发展、个人职业生涯发展及员工技能的提升。</w:t>
      </w:r>
    </w:p>
    <w:p w14:paraId="666BD5D1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</w:pPr>
      <w:r>
        <w:rPr>
          <w:rFonts w:hint="eastAsia" w:ascii="Times New Roman" w:hAnsi="Times New Roman" w:eastAsia="宋体" w:cs="Times New Roman"/>
          <w:b/>
          <w:bCs w:val="0"/>
          <w:i w:val="0"/>
          <w:color w:val="0F1115"/>
          <w:sz w:val="24"/>
          <w:szCs w:val="24"/>
        </w:rPr>
        <w:t>新员工培训（新星计划）</w:t>
      </w:r>
      <w:r>
        <w:rPr>
          <w:rFonts w:ascii="Times New Roman" w:hAnsi="Times New Roman" w:eastAsia="宋体" w:cs="Times New Roman"/>
          <w:b/>
          <w:bCs w:val="0"/>
          <w:i w:val="0"/>
          <w:color w:val="0F1115"/>
          <w:sz w:val="24"/>
          <w:szCs w:val="24"/>
        </w:rPr>
        <w:t>：</w:t>
      </w:r>
      <w:r>
        <w:rPr>
          <w:rFonts w:hint="eastAsia" w:ascii="Times New Roman" w:hAnsi="Times New Roman" w:eastAsia="宋体" w:cs="Times New Roman"/>
          <w:b w:val="0"/>
          <w:bCs/>
          <w:i w:val="0"/>
          <w:color w:val="0F1115"/>
          <w:sz w:val="24"/>
          <w:szCs w:val="24"/>
        </w:rPr>
        <w:t>入职培训除通用类的理论培训授课外，针对不同特点的员工选择不同的培训项目及内容。大学生入职培训，帮助大学生实现从校园到社会的过渡，通过轮岗学习、部门试用让大学生逐步适应现任工作岗位，掌握岗位技能。</w:t>
      </w:r>
    </w:p>
    <w:tbl>
      <w:tblPr>
        <w:tblStyle w:val="20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62"/>
        <w:gridCol w:w="1592"/>
        <w:gridCol w:w="1592"/>
        <w:gridCol w:w="1593"/>
      </w:tblGrid>
      <w:tr w14:paraId="7E5A5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169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15E926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943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62E890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943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E45CB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943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6EB414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41C0E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169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902E37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人均培训经费（元）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0EE494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3000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319EF3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4500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727C23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6000</w:t>
            </w:r>
          </w:p>
        </w:tc>
      </w:tr>
      <w:tr w14:paraId="18897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169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419AE3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人均培训时间（小时/年）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0BF678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04F089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70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8DE6D8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140</w:t>
            </w:r>
          </w:p>
        </w:tc>
      </w:tr>
      <w:tr w14:paraId="1DF31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169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6225F2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员工表彰/奖励人数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0570D1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25人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F273CD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29人</w:t>
            </w:r>
          </w:p>
        </w:tc>
        <w:tc>
          <w:tcPr>
            <w:tcW w:w="943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04E4DC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35人</w:t>
            </w:r>
          </w:p>
        </w:tc>
      </w:tr>
    </w:tbl>
    <w:p w14:paraId="7A42AE4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公司为员工设置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管理、技术双通道职业发展路径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。实施后备人才培养和继任者计划，通过轮岗锻炼、参与重大决策等方式培养未来领导者。</w:t>
      </w:r>
    </w:p>
    <w:p w14:paraId="08675B1F">
      <w:pPr>
        <w:pStyle w:val="4"/>
        <w:widowControl/>
        <w:numPr>
          <w:ilvl w:val="0"/>
          <w:numId w:val="7"/>
        </w:numPr>
        <w:shd w:val="clear" w:fill="FFFFFF"/>
        <w:ind w:left="0" w:leftChars="0" w:firstLine="0" w:firstLineChars="0"/>
        <w:rPr>
          <w:b w:val="0"/>
        </w:rPr>
      </w:pPr>
      <w:bookmarkStart w:id="29" w:name="_Toc14283"/>
      <w:r>
        <w:t>员工沟通与参与</w:t>
      </w:r>
      <w:bookmarkEnd w:id="29"/>
    </w:p>
    <w:p w14:paraId="286891DD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公司搭建多种内部沟通平台，包括OA系统、工作交流微信群、员工意见箱、总经理信箱等。公司定期召开员工座谈会、职工代表大会，认真采纳合理化建议并给予现金奖励。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9"/>
        <w:gridCol w:w="1873"/>
        <w:gridCol w:w="1873"/>
        <w:gridCol w:w="1873"/>
      </w:tblGrid>
      <w:tr w14:paraId="5A4677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670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8BD2A3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1109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6F732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2021年</w:t>
            </w:r>
          </w:p>
        </w:tc>
        <w:tc>
          <w:tcPr>
            <w:tcW w:w="1109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A44C52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2022年</w:t>
            </w:r>
          </w:p>
        </w:tc>
        <w:tc>
          <w:tcPr>
            <w:tcW w:w="1109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E9B70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</w:tr>
      <w:tr w14:paraId="718316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70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4BC5FF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合理化建议数</w:t>
            </w:r>
          </w:p>
        </w:tc>
        <w:tc>
          <w:tcPr>
            <w:tcW w:w="110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6B59D2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47件</w:t>
            </w:r>
          </w:p>
        </w:tc>
        <w:tc>
          <w:tcPr>
            <w:tcW w:w="110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638DAF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43件</w:t>
            </w:r>
          </w:p>
        </w:tc>
        <w:tc>
          <w:tcPr>
            <w:tcW w:w="110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B039C4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71件</w:t>
            </w:r>
          </w:p>
        </w:tc>
      </w:tr>
      <w:tr w14:paraId="316262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70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4A324C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员工满意度</w:t>
            </w:r>
          </w:p>
        </w:tc>
        <w:tc>
          <w:tcPr>
            <w:tcW w:w="1109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2A072D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67.21%</w:t>
            </w:r>
          </w:p>
        </w:tc>
        <w:tc>
          <w:tcPr>
            <w:tcW w:w="1109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A05FB8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68.69%</w:t>
            </w:r>
          </w:p>
        </w:tc>
        <w:tc>
          <w:tcPr>
            <w:tcW w:w="1109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3D610F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70.47%</w:t>
            </w:r>
          </w:p>
        </w:tc>
      </w:tr>
    </w:tbl>
    <w:p w14:paraId="0D7AC750">
      <w:pPr>
        <w:pStyle w:val="4"/>
        <w:widowControl/>
        <w:numPr>
          <w:ilvl w:val="0"/>
          <w:numId w:val="7"/>
        </w:numPr>
        <w:shd w:val="clear" w:fill="FFFFFF"/>
        <w:ind w:left="0" w:leftChars="0" w:firstLine="0" w:firstLineChars="0"/>
        <w:rPr>
          <w:b w:val="0"/>
        </w:rPr>
      </w:pPr>
      <w:bookmarkStart w:id="30" w:name="_Toc20002"/>
      <w:r>
        <w:t>薪酬福利</w:t>
      </w:r>
      <w:bookmarkEnd w:id="30"/>
    </w:p>
    <w:p w14:paraId="35E5923C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公司实施市场领先型薪酬策略，核心人才薪酬水平处于同行业75分位值以上。近三年员工薪酬增长率持续提升：</w:t>
      </w:r>
    </w:p>
    <w:tbl>
      <w:tblPr>
        <w:tblStyle w:val="20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83"/>
        <w:gridCol w:w="2656"/>
      </w:tblGrid>
      <w:tr w14:paraId="677C1D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426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40862D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1573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1B9887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075691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6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80EA4A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员工薪酬增长率</w:t>
            </w:r>
          </w:p>
        </w:tc>
        <w:tc>
          <w:tcPr>
            <w:tcW w:w="157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2F4AFF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5.7%</w:t>
            </w:r>
          </w:p>
        </w:tc>
      </w:tr>
      <w:tr w14:paraId="44A90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6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63A73E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装配车间女工月均工资</w:t>
            </w:r>
          </w:p>
        </w:tc>
        <w:tc>
          <w:tcPr>
            <w:tcW w:w="157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2DE883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6000余元</w:t>
            </w:r>
          </w:p>
        </w:tc>
      </w:tr>
      <w:tr w14:paraId="06A3B8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26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0A2AAB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技术岗平均年薪</w:t>
            </w:r>
          </w:p>
        </w:tc>
        <w:tc>
          <w:tcPr>
            <w:tcW w:w="1573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7D6444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12万元</w:t>
            </w:r>
          </w:p>
        </w:tc>
      </w:tr>
    </w:tbl>
    <w:p w14:paraId="12092CAB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允许员工每日灵活调配一定时间照顾家庭。企业女工占比达65%，公司积极联合安丰镇妇联开展“光伏工匠培育计划”，累计培训留守妇女500余人次，其中87人成长为技术骨干，帮助她们实现从“零基础”到熟练技工的转变。</w:t>
      </w:r>
    </w:p>
    <w:p w14:paraId="4EF15290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31" w:name="_Toc11479"/>
      <w:r>
        <w:t>环境保护</w:t>
      </w:r>
      <w:bookmarkEnd w:id="31"/>
    </w:p>
    <w:p w14:paraId="387F19EC">
      <w:pPr>
        <w:pStyle w:val="4"/>
        <w:widowControl/>
        <w:numPr>
          <w:ilvl w:val="0"/>
          <w:numId w:val="8"/>
        </w:numPr>
        <w:shd w:val="clear" w:fill="FFFFFF"/>
        <w:ind w:left="0" w:leftChars="0" w:firstLine="0" w:firstLineChars="0"/>
        <w:rPr>
          <w:b w:val="0"/>
        </w:rPr>
      </w:pPr>
      <w:bookmarkStart w:id="32" w:name="_Toc12990"/>
      <w:r>
        <w:t>环境管理体系</w:t>
      </w:r>
      <w:bookmarkEnd w:id="32"/>
    </w:p>
    <w:p w14:paraId="5FA9B269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公司通过ISO 14001环境管理体系认证。项目建设严格执行环保“三同时”制度。公司识别环境因素覆盖所有产品、生产活动和服务，涵盖大气排放、水体排放、固体污染物排放、噪声排放、资源和能源利用、土地污染、相关方要求等七个方面。</w:t>
      </w:r>
    </w:p>
    <w:p w14:paraId="6F33C23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公司每年都接受盐城市环境保护局的监督检测，检测数据均达到标准，没有超标排放。</w:t>
      </w:r>
    </w:p>
    <w:p w14:paraId="07B42EDF">
      <w:pPr>
        <w:pStyle w:val="4"/>
        <w:widowControl/>
        <w:numPr>
          <w:ilvl w:val="0"/>
          <w:numId w:val="8"/>
        </w:numPr>
        <w:shd w:val="clear" w:fill="FFFFFF"/>
        <w:ind w:left="0" w:leftChars="0" w:firstLine="0" w:firstLineChars="0"/>
        <w:rPr>
          <w:b w:val="0"/>
        </w:rPr>
      </w:pPr>
      <w:bookmarkStart w:id="33" w:name="_Toc25955"/>
      <w:r>
        <w:t>污染防治</w:t>
      </w:r>
      <w:bookmarkEnd w:id="33"/>
    </w:p>
    <w:p w14:paraId="15A28513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公司严格落实各项环保措施：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79"/>
        <w:gridCol w:w="2964"/>
        <w:gridCol w:w="4395"/>
      </w:tblGrid>
      <w:tr w14:paraId="6281D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639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5FFE0B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控制对象</w:t>
            </w:r>
          </w:p>
        </w:tc>
        <w:tc>
          <w:tcPr>
            <w:tcW w:w="1756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7A35D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关键措施</w:t>
            </w:r>
          </w:p>
        </w:tc>
        <w:tc>
          <w:tcPr>
            <w:tcW w:w="2603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4CF83D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目标</w:t>
            </w:r>
          </w:p>
        </w:tc>
      </w:tr>
      <w:tr w14:paraId="41146A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9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7D60F7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废水</w:t>
            </w:r>
          </w:p>
        </w:tc>
        <w:tc>
          <w:tcPr>
            <w:tcW w:w="175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198052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雨污分流，污水达标后排放</w:t>
            </w:r>
          </w:p>
        </w:tc>
        <w:tc>
          <w:tcPr>
            <w:tcW w:w="26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B2C2A9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三废达标排放率100%</w:t>
            </w:r>
          </w:p>
        </w:tc>
      </w:tr>
      <w:tr w14:paraId="00846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9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E36A2F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废气</w:t>
            </w:r>
          </w:p>
        </w:tc>
        <w:tc>
          <w:tcPr>
            <w:tcW w:w="175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2EF71B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光催化氧化设备+活性炭吸附装置处理</w:t>
            </w:r>
          </w:p>
        </w:tc>
        <w:tc>
          <w:tcPr>
            <w:tcW w:w="26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0E2266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达到DB32/4041-2021标准</w:t>
            </w:r>
          </w:p>
        </w:tc>
      </w:tr>
      <w:tr w14:paraId="00AC2B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9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21D3B1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噪声</w:t>
            </w:r>
          </w:p>
        </w:tc>
        <w:tc>
          <w:tcPr>
            <w:tcW w:w="175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0F7746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委托有资质单位每季度监测</w:t>
            </w:r>
          </w:p>
        </w:tc>
        <w:tc>
          <w:tcPr>
            <w:tcW w:w="26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E1E5F1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厂界噪声达标</w:t>
            </w:r>
          </w:p>
        </w:tc>
      </w:tr>
      <w:tr w14:paraId="60182B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9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30B393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固体废弃物</w:t>
            </w:r>
          </w:p>
        </w:tc>
        <w:tc>
          <w:tcPr>
            <w:tcW w:w="1756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7CFA4E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分类存放，委托有资质单位处置</w:t>
            </w:r>
          </w:p>
        </w:tc>
        <w:tc>
          <w:tcPr>
            <w:tcW w:w="2603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B54B2A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无害化处理率100%</w:t>
            </w:r>
          </w:p>
        </w:tc>
      </w:tr>
    </w:tbl>
    <w:p w14:paraId="02623831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环保绩效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：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35"/>
        <w:gridCol w:w="1901"/>
        <w:gridCol w:w="1901"/>
        <w:gridCol w:w="1901"/>
      </w:tblGrid>
      <w:tr w14:paraId="1A7B3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620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A240F8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1126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EF5680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1126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2DD62C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1126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2A8B8D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24E5B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20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1CC9EF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环境事故数</w:t>
            </w:r>
          </w:p>
        </w:tc>
        <w:tc>
          <w:tcPr>
            <w:tcW w:w="112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6AAC70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112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EB5277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112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4F3ED0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  <w:tr w14:paraId="569B2B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20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B50B93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三废排放达标率</w:t>
            </w:r>
          </w:p>
        </w:tc>
        <w:tc>
          <w:tcPr>
            <w:tcW w:w="1126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B8C6FC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1126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077668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1126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6925C5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</w:tbl>
    <w:p w14:paraId="69CB94F9">
      <w:pPr>
        <w:pStyle w:val="4"/>
        <w:widowControl/>
        <w:numPr>
          <w:ilvl w:val="0"/>
          <w:numId w:val="8"/>
        </w:numPr>
        <w:shd w:val="clear" w:fill="FFFFFF"/>
        <w:ind w:left="0" w:leftChars="0" w:firstLine="0" w:firstLineChars="0"/>
        <w:rPr>
          <w:b w:val="0"/>
        </w:rPr>
      </w:pPr>
      <w:bookmarkStart w:id="34" w:name="_Toc16667"/>
      <w:r>
        <w:t>节能减排</w:t>
      </w:r>
      <w:bookmarkEnd w:id="34"/>
    </w:p>
    <w:p w14:paraId="06CE1346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公司成立能源管理小组，健全能源管理制度。各一级、二级计量仪表配备率均为100%，定期组织能源消耗分析。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90"/>
        <w:gridCol w:w="1516"/>
        <w:gridCol w:w="1516"/>
        <w:gridCol w:w="1516"/>
      </w:tblGrid>
      <w:tr w14:paraId="6DE79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305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189D03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898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C837B2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898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4FB72E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898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07C27A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6F3FE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305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44B7B1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万元产值综合能耗（吨标煤）</w:t>
            </w:r>
          </w:p>
        </w:tc>
        <w:tc>
          <w:tcPr>
            <w:tcW w:w="898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A87A39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0.045</w:t>
            </w:r>
          </w:p>
        </w:tc>
        <w:tc>
          <w:tcPr>
            <w:tcW w:w="898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34A923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0.043</w:t>
            </w:r>
          </w:p>
        </w:tc>
        <w:tc>
          <w:tcPr>
            <w:tcW w:w="898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4599B4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0.039</w:t>
            </w:r>
          </w:p>
        </w:tc>
      </w:tr>
    </w:tbl>
    <w:p w14:paraId="23EB36A9">
      <w:pPr>
        <w:pStyle w:val="12"/>
        <w:widowControl/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近年来实施的节能技改项目包括：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7"/>
        <w:gridCol w:w="3260"/>
        <w:gridCol w:w="2872"/>
      </w:tblGrid>
      <w:tr w14:paraId="6CA244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7" w:type="dxa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noWrap/>
            <w:vAlign w:val="center"/>
          </w:tcPr>
          <w:p w14:paraId="34B1FF0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3260" w:type="dxa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noWrap/>
            <w:vAlign w:val="center"/>
          </w:tcPr>
          <w:p w14:paraId="47DCB90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实施</w:t>
            </w:r>
          </w:p>
        </w:tc>
        <w:tc>
          <w:tcPr>
            <w:tcW w:w="2872" w:type="dxa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noWrap/>
            <w:vAlign w:val="center"/>
          </w:tcPr>
          <w:p w14:paraId="0C78511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成效</w:t>
            </w:r>
          </w:p>
        </w:tc>
      </w:tr>
      <w:tr w14:paraId="09FE1E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2387" w:type="dxa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noWrap/>
            <w:vAlign w:val="center"/>
          </w:tcPr>
          <w:p w14:paraId="5AD23BA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光催化氧化设备+活性炭吸附装置</w:t>
            </w:r>
          </w:p>
        </w:tc>
        <w:tc>
          <w:tcPr>
            <w:tcW w:w="3260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noWrap w:val="0"/>
            <w:vAlign w:val="center"/>
          </w:tcPr>
          <w:p w14:paraId="3AA0D04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焊接机、层压机等，有气体排放的设备，统一汇总所排放的气体，集中经过活性炭过滤再排放</w:t>
            </w:r>
          </w:p>
        </w:tc>
        <w:tc>
          <w:tcPr>
            <w:tcW w:w="2872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noWrap w:val="0"/>
            <w:vAlign w:val="center"/>
          </w:tcPr>
          <w:p w14:paraId="73E24D2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达到大气污染物综合排放标准（DB32/4041-2021）</w:t>
            </w:r>
          </w:p>
        </w:tc>
      </w:tr>
      <w:tr w14:paraId="69954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2387" w:type="dxa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noWrap/>
            <w:vAlign w:val="center"/>
          </w:tcPr>
          <w:p w14:paraId="272B904E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照明系统节能改造</w:t>
            </w:r>
          </w:p>
        </w:tc>
        <w:tc>
          <w:tcPr>
            <w:tcW w:w="3260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noWrap w:val="0"/>
            <w:vAlign w:val="center"/>
          </w:tcPr>
          <w:p w14:paraId="66E28A6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将传统的照明系统升级为LED照明或其他高效照明系统</w:t>
            </w:r>
          </w:p>
        </w:tc>
        <w:tc>
          <w:tcPr>
            <w:tcW w:w="2872" w:type="dxa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noWrap w:val="0"/>
            <w:vAlign w:val="center"/>
          </w:tcPr>
          <w:p w14:paraId="0E60DDE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显著降低能源消耗，并提高照明质量和寿命</w:t>
            </w:r>
          </w:p>
        </w:tc>
      </w:tr>
      <w:tr w14:paraId="79AEB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87" w:type="dxa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noWrap/>
            <w:vAlign w:val="center"/>
          </w:tcPr>
          <w:p w14:paraId="19CAE079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空压机和真空泵节能改造</w:t>
            </w:r>
          </w:p>
        </w:tc>
        <w:tc>
          <w:tcPr>
            <w:tcW w:w="3260" w:type="dxa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noWrap w:val="0"/>
            <w:vAlign w:val="center"/>
          </w:tcPr>
          <w:p w14:paraId="68267A2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通过采用更高效的空压机和真空泵，或者使用变频器等技术进行调节</w:t>
            </w:r>
          </w:p>
        </w:tc>
        <w:tc>
          <w:tcPr>
            <w:tcW w:w="2872" w:type="dxa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noWrap w:val="0"/>
            <w:vAlign w:val="center"/>
          </w:tcPr>
          <w:p w14:paraId="1A7AD3C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显著降低降低能源消耗</w:t>
            </w:r>
          </w:p>
        </w:tc>
      </w:tr>
    </w:tbl>
    <w:p w14:paraId="78F70CB6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公司获评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盐城市首批四星上云企业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。</w:t>
      </w:r>
    </w:p>
    <w:p w14:paraId="0E0CC317">
      <w:pPr>
        <w:pStyle w:val="4"/>
        <w:widowControl/>
        <w:numPr>
          <w:ilvl w:val="0"/>
          <w:numId w:val="8"/>
        </w:numPr>
        <w:shd w:val="clear" w:fill="FFFFFF"/>
        <w:ind w:left="0" w:leftChars="0" w:firstLine="0" w:firstLineChars="0"/>
        <w:rPr>
          <w:b w:val="0"/>
        </w:rPr>
      </w:pPr>
      <w:bookmarkStart w:id="35" w:name="_Toc20718"/>
      <w:r>
        <w:t>应对气候变化</w:t>
      </w:r>
      <w:bookmarkEnd w:id="35"/>
    </w:p>
    <w:p w14:paraId="00EF0D63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专注于光伏组件研发生产，以清洁能源产品助力全球能源转型和碳达峰、碳中和目标实现。公司产品已为全球90多个国家和地区的近百万用户提供绿色能源。公司采用目前最新技术的TOPCon电池片，通过高质量、差异化生产，主打双玻全黑182-108 TOPCon光伏组件，光电转换率达22%。</w:t>
      </w:r>
    </w:p>
    <w:p w14:paraId="752E7247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公司全力推行清洁生产，持续为社会提供优秀的绿色能源与服务。</w:t>
      </w:r>
    </w:p>
    <w:p w14:paraId="196B8B2E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36" w:name="_Toc32432"/>
      <w:r>
        <w:t>公平运营</w:t>
      </w:r>
      <w:bookmarkEnd w:id="36"/>
    </w:p>
    <w:p w14:paraId="6A02DAD2">
      <w:pPr>
        <w:pStyle w:val="4"/>
        <w:widowControl/>
        <w:numPr>
          <w:ilvl w:val="0"/>
          <w:numId w:val="9"/>
        </w:numPr>
        <w:shd w:val="clear" w:fill="FFFFFF"/>
        <w:ind w:left="0" w:leftChars="0" w:firstLine="0" w:firstLineChars="0"/>
        <w:rPr>
          <w:b w:val="0"/>
        </w:rPr>
      </w:pPr>
      <w:bookmarkStart w:id="37" w:name="_Toc19237"/>
      <w:r>
        <w:t>反腐败与廉洁运营</w:t>
      </w:r>
      <w:bookmarkEnd w:id="37"/>
    </w:p>
    <w:p w14:paraId="6149AFD6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公司制定领导干部廉洁从业若干规定，每年对中层领导进行“德、能、勤、绩、廉”360度考核。公司连续三年未发生违纪违法事件。</w:t>
      </w:r>
    </w:p>
    <w:tbl>
      <w:tblPr>
        <w:tblStyle w:val="20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9"/>
        <w:gridCol w:w="2611"/>
        <w:gridCol w:w="1499"/>
        <w:gridCol w:w="1499"/>
        <w:gridCol w:w="1500"/>
      </w:tblGrid>
      <w:tr w14:paraId="52D1C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787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78F9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监督对象</w:t>
            </w:r>
          </w:p>
        </w:tc>
        <w:tc>
          <w:tcPr>
            <w:tcW w:w="1546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2D29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监测指标</w:t>
            </w:r>
          </w:p>
        </w:tc>
        <w:tc>
          <w:tcPr>
            <w:tcW w:w="888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20ED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2021年</w:t>
            </w:r>
          </w:p>
        </w:tc>
        <w:tc>
          <w:tcPr>
            <w:tcW w:w="888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D890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2022年</w:t>
            </w:r>
          </w:p>
        </w:tc>
        <w:tc>
          <w:tcPr>
            <w:tcW w:w="888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E2E3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</w:tr>
      <w:tr w14:paraId="64CB6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7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8175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高层领导</w:t>
            </w:r>
          </w:p>
        </w:tc>
        <w:tc>
          <w:tcPr>
            <w:tcW w:w="154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6620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信访案件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1AE5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7FFE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2FEB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  <w:tr w14:paraId="58561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7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E113F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中层领导</w:t>
            </w:r>
          </w:p>
        </w:tc>
        <w:tc>
          <w:tcPr>
            <w:tcW w:w="154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7207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德能勤绩廉达标率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94B2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6D4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39C0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  <w:tr w14:paraId="2F6CA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7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CE1E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全体员工</w:t>
            </w:r>
          </w:p>
        </w:tc>
        <w:tc>
          <w:tcPr>
            <w:tcW w:w="154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1BAB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损害公司利益行为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3DC8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7D2E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1D58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  <w:tr w14:paraId="727E0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7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0173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全体员工</w:t>
            </w:r>
          </w:p>
        </w:tc>
        <w:tc>
          <w:tcPr>
            <w:tcW w:w="1546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6C83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违法经营率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D3A3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9ACB3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888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CB9D0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</w:tbl>
    <w:p w14:paraId="2D76774E">
      <w:pPr>
        <w:pStyle w:val="4"/>
        <w:widowControl/>
        <w:numPr>
          <w:ilvl w:val="0"/>
          <w:numId w:val="9"/>
        </w:numPr>
        <w:shd w:val="clear" w:fill="FFFFFF"/>
        <w:ind w:left="0" w:leftChars="0" w:firstLine="0" w:firstLineChars="0"/>
        <w:rPr>
          <w:b w:val="0"/>
        </w:rPr>
      </w:pPr>
      <w:bookmarkStart w:id="38" w:name="_Toc23625"/>
      <w:r>
        <w:t>公平竞争</w:t>
      </w:r>
      <w:bookmarkEnd w:id="38"/>
    </w:p>
    <w:p w14:paraId="0AC09A69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公司严格遵守市场秩序，通过技术创新和品质提升参与市场竞争。公司积极参与行业交流，成为江苏省光伏产业协会新会员，入选盐城市民营企业百强。</w:t>
      </w:r>
    </w:p>
    <w:p w14:paraId="29A4AB63">
      <w:pPr>
        <w:pStyle w:val="4"/>
        <w:widowControl/>
        <w:numPr>
          <w:ilvl w:val="0"/>
          <w:numId w:val="9"/>
        </w:numPr>
        <w:shd w:val="clear" w:fill="FFFFFF"/>
        <w:ind w:left="0" w:leftChars="0" w:firstLine="0" w:firstLineChars="0"/>
        <w:rPr>
          <w:b w:val="0"/>
        </w:rPr>
      </w:pPr>
      <w:bookmarkStart w:id="39" w:name="_Toc7751"/>
      <w:r>
        <w:t>供应链责任</w:t>
      </w:r>
      <w:bookmarkEnd w:id="39"/>
    </w:p>
    <w:p w14:paraId="041DAC57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公司按采购金额和物料风险程度对供应商实施分类管理，与关键供应商建立战略合作伙伴关系。公司通过供应商审计将诚信经营理念传导给供应商。</w:t>
      </w:r>
    </w:p>
    <w:tbl>
      <w:tblPr>
        <w:tblStyle w:val="20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89"/>
        <w:gridCol w:w="1783"/>
        <w:gridCol w:w="1783"/>
        <w:gridCol w:w="1783"/>
      </w:tblGrid>
      <w:tr w14:paraId="03CADE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830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F1449D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1056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9B26E9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1056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A5D158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1056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2C647F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62481D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30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6EF960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供应商数量</w:t>
            </w:r>
          </w:p>
        </w:tc>
        <w:tc>
          <w:tcPr>
            <w:tcW w:w="105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F8D89E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43家</w:t>
            </w:r>
          </w:p>
        </w:tc>
        <w:tc>
          <w:tcPr>
            <w:tcW w:w="105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08BC16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52家</w:t>
            </w:r>
          </w:p>
        </w:tc>
        <w:tc>
          <w:tcPr>
            <w:tcW w:w="1056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D2AEE8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59家</w:t>
            </w:r>
          </w:p>
        </w:tc>
      </w:tr>
      <w:tr w14:paraId="17993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30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0AEEE5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稳定供应商比例</w:t>
            </w:r>
          </w:p>
        </w:tc>
        <w:tc>
          <w:tcPr>
            <w:tcW w:w="1056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42117D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96%</w:t>
            </w:r>
          </w:p>
        </w:tc>
        <w:tc>
          <w:tcPr>
            <w:tcW w:w="1056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2B7A2C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97%</w:t>
            </w:r>
          </w:p>
        </w:tc>
        <w:tc>
          <w:tcPr>
            <w:tcW w:w="1056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1F4A99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97%</w:t>
            </w:r>
          </w:p>
        </w:tc>
      </w:tr>
    </w:tbl>
    <w:p w14:paraId="262BB134">
      <w:pPr>
        <w:pStyle w:val="4"/>
        <w:widowControl/>
        <w:numPr>
          <w:ilvl w:val="0"/>
          <w:numId w:val="9"/>
        </w:numPr>
        <w:shd w:val="clear" w:fill="FFFFFF"/>
        <w:ind w:left="0" w:leftChars="0" w:firstLine="0" w:firstLineChars="0"/>
        <w:rPr>
          <w:b w:val="0"/>
        </w:rPr>
      </w:pPr>
      <w:bookmarkStart w:id="40" w:name="_Toc11578"/>
      <w:r>
        <w:t>产权保护</w:t>
      </w:r>
      <w:bookmarkEnd w:id="40"/>
    </w:p>
    <w:p w14:paraId="1184A1E4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auto"/>
          <w:sz w:val="24"/>
          <w:szCs w:val="24"/>
          <w:highlight w:val="none"/>
        </w:rPr>
        <w:t>公司高度重视知识产权的保护工作，建有完整的知识产权管理组织体系。公司获得发明专利授权</w:t>
      </w:r>
      <w:r>
        <w:rPr>
          <w:rFonts w:hint="eastAsia" w:cs="Times New Roman"/>
          <w:i w:val="0"/>
          <w:color w:val="auto"/>
          <w:sz w:val="24"/>
          <w:szCs w:val="24"/>
          <w:highlight w:val="none"/>
          <w:lang w:val="en-US" w:eastAsia="zh-CN"/>
        </w:rPr>
        <w:t>25</w:t>
      </w:r>
      <w:r>
        <w:rPr>
          <w:rFonts w:ascii="Times New Roman" w:hAnsi="Times New Roman" w:eastAsia="宋体" w:cs="Times New Roman"/>
          <w:i w:val="0"/>
          <w:color w:val="auto"/>
          <w:sz w:val="24"/>
          <w:szCs w:val="24"/>
          <w:highlight w:val="none"/>
        </w:rPr>
        <w:t>件、实用新型授权</w:t>
      </w:r>
      <w:r>
        <w:rPr>
          <w:rFonts w:hint="eastAsia" w:cs="Times New Roman"/>
          <w:i w:val="0"/>
          <w:color w:val="auto"/>
          <w:sz w:val="24"/>
          <w:szCs w:val="24"/>
          <w:highlight w:val="none"/>
          <w:lang w:val="en-US" w:eastAsia="zh-CN"/>
        </w:rPr>
        <w:t>13</w:t>
      </w:r>
      <w:r>
        <w:rPr>
          <w:rFonts w:ascii="Times New Roman" w:hAnsi="Times New Roman" w:eastAsia="宋体" w:cs="Times New Roman"/>
          <w:i w:val="0"/>
          <w:color w:val="auto"/>
          <w:sz w:val="24"/>
          <w:szCs w:val="24"/>
          <w:highlight w:val="none"/>
        </w:rPr>
        <w:t>件。公司在企业技术创新活动中加强知识产权保护意识，开发专利产品，注册专用商标，实施品牌战略。</w:t>
      </w:r>
    </w:p>
    <w:p w14:paraId="3E32997C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41" w:name="_Toc8714"/>
      <w:r>
        <w:t>消费者保护</w:t>
      </w:r>
      <w:bookmarkEnd w:id="41"/>
    </w:p>
    <w:p w14:paraId="4E19A101">
      <w:pPr>
        <w:pStyle w:val="4"/>
        <w:widowControl/>
        <w:numPr>
          <w:ilvl w:val="0"/>
          <w:numId w:val="10"/>
        </w:numPr>
        <w:shd w:val="clear" w:fill="FFFFFF"/>
        <w:ind w:left="0" w:leftChars="0" w:firstLine="0" w:firstLineChars="0"/>
        <w:rPr>
          <w:b w:val="0"/>
        </w:rPr>
      </w:pPr>
      <w:bookmarkStart w:id="42" w:name="_Toc15698"/>
      <w:r>
        <w:t>产品质量与安全</w:t>
      </w:r>
      <w:bookmarkEnd w:id="42"/>
    </w:p>
    <w:p w14:paraId="16FBAEE5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公司以“以卓越绩效为目标，以执行为抓手、以改进为推力、以系统为保障，用匠心精神打造超越顾客期望的产品和服务”为质量文化</w:t>
      </w:r>
      <w:r>
        <w:rPr>
          <w:rFonts w:ascii="Times New Roman" w:hAnsi="Times New Roman" w:eastAsia="宋体" w:cs="Times New Roman"/>
          <w:i w:val="0"/>
          <w:sz w:val="24"/>
          <w:szCs w:val="24"/>
          <w:u w:val="none"/>
          <w:bdr w:val="single" w:color="auto" w:sz="8" w:space="0"/>
        </w:rPr>
        <w:fldChar w:fldCharType="begin"/>
      </w:r>
      <w:r>
        <w:rPr>
          <w:rFonts w:ascii="Times New Roman" w:hAnsi="Times New Roman" w:eastAsia="宋体" w:cs="Times New Roman"/>
          <w:i w:val="0"/>
          <w:sz w:val="24"/>
          <w:szCs w:val="24"/>
          <w:u w:val="none"/>
          <w:bdr w:val="single" w:color="auto" w:sz="8" w:space="0"/>
        </w:rPr>
        <w:instrText xml:space="preserve"> HYPERLINK "https://www.q-sunsolar.com/category/news/" \l "content" \t "https://chat.deepseek.com/a/chat/s/_blank" </w:instrText>
      </w:r>
      <w:r>
        <w:rPr>
          <w:rFonts w:ascii="Times New Roman" w:hAnsi="Times New Roman" w:eastAsia="宋体" w:cs="Times New Roman"/>
          <w:i w:val="0"/>
          <w:sz w:val="24"/>
          <w:szCs w:val="24"/>
          <w:u w:val="none"/>
          <w:bdr w:val="single" w:color="auto" w:sz="8" w:space="0"/>
        </w:rPr>
        <w:fldChar w:fldCharType="separate"/>
      </w:r>
      <w:r>
        <w:rPr>
          <w:rFonts w:ascii="Times New Roman" w:hAnsi="Times New Roman" w:eastAsia="宋体" w:cs="Times New Roman"/>
          <w:i w:val="0"/>
          <w:sz w:val="24"/>
          <w:szCs w:val="24"/>
          <w:u w:val="none"/>
          <w:bdr w:val="single" w:color="auto" w:sz="8" w:space="0"/>
        </w:rPr>
        <w:fldChar w:fldCharType="end"/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。公司通过ISO 9001质量管理体系认证。</w:t>
      </w:r>
    </w:p>
    <w:p w14:paraId="6CBE86FC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公司产品关键技术指标达到国内领先水平：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91"/>
        <w:gridCol w:w="1815"/>
        <w:gridCol w:w="1815"/>
        <w:gridCol w:w="2117"/>
      </w:tblGrid>
      <w:tr w14:paraId="598A10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594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0DCACD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技术指标</w:t>
            </w:r>
          </w:p>
        </w:tc>
        <w:tc>
          <w:tcPr>
            <w:tcW w:w="1075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9D42D1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本企业水平</w:t>
            </w:r>
          </w:p>
        </w:tc>
        <w:tc>
          <w:tcPr>
            <w:tcW w:w="1075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FC2DE5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同行业水平</w:t>
            </w:r>
          </w:p>
        </w:tc>
        <w:tc>
          <w:tcPr>
            <w:tcW w:w="1254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13F4E4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国际先进水平</w:t>
            </w:r>
          </w:p>
        </w:tc>
      </w:tr>
      <w:tr w14:paraId="39D94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94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B510B3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TOPCon电池技术</w:t>
            </w:r>
          </w:p>
        </w:tc>
        <w:tc>
          <w:tcPr>
            <w:tcW w:w="107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4C8EC7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25.6%</w:t>
            </w:r>
          </w:p>
        </w:tc>
        <w:tc>
          <w:tcPr>
            <w:tcW w:w="107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1CA318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25.6%</w:t>
            </w:r>
          </w:p>
        </w:tc>
        <w:tc>
          <w:tcPr>
            <w:tcW w:w="125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8EB2F4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26%</w:t>
            </w:r>
          </w:p>
        </w:tc>
      </w:tr>
      <w:tr w14:paraId="5534BA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94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AC033D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Perc电池技术</w:t>
            </w:r>
          </w:p>
        </w:tc>
        <w:tc>
          <w:tcPr>
            <w:tcW w:w="107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C64950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24%</w:t>
            </w:r>
          </w:p>
        </w:tc>
        <w:tc>
          <w:tcPr>
            <w:tcW w:w="107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1AD0C7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24%</w:t>
            </w:r>
          </w:p>
        </w:tc>
        <w:tc>
          <w:tcPr>
            <w:tcW w:w="125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B3915A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24%</w:t>
            </w:r>
          </w:p>
        </w:tc>
      </w:tr>
      <w:tr w14:paraId="587E5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94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DC2362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产品材料质保</w:t>
            </w:r>
          </w:p>
        </w:tc>
        <w:tc>
          <w:tcPr>
            <w:tcW w:w="107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3BA451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15年</w:t>
            </w:r>
          </w:p>
        </w:tc>
        <w:tc>
          <w:tcPr>
            <w:tcW w:w="107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DC723F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15年</w:t>
            </w:r>
          </w:p>
        </w:tc>
        <w:tc>
          <w:tcPr>
            <w:tcW w:w="1254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C0A92B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15年</w:t>
            </w:r>
          </w:p>
        </w:tc>
      </w:tr>
      <w:tr w14:paraId="1DBCE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94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112412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输出功率质保</w:t>
            </w:r>
          </w:p>
        </w:tc>
        <w:tc>
          <w:tcPr>
            <w:tcW w:w="1075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E9F1BC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30年</w:t>
            </w:r>
          </w:p>
        </w:tc>
        <w:tc>
          <w:tcPr>
            <w:tcW w:w="1075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623AB8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30年</w:t>
            </w:r>
          </w:p>
        </w:tc>
        <w:tc>
          <w:tcPr>
            <w:tcW w:w="1254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5B5969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30年</w:t>
            </w:r>
          </w:p>
        </w:tc>
      </w:tr>
    </w:tbl>
    <w:p w14:paraId="2AD8FC05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质量绩效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：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20"/>
        <w:gridCol w:w="1739"/>
        <w:gridCol w:w="1739"/>
        <w:gridCol w:w="1740"/>
      </w:tblGrid>
      <w:tr w14:paraId="491A31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07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26463E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1030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EE62CD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1030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A86419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1030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9471B9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339E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907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503799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产品一次生产合格率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AA3CBF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96%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6D5CC4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98%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E1A5B5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99%</w:t>
            </w:r>
          </w:p>
        </w:tc>
      </w:tr>
      <w:tr w14:paraId="7C3868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907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BFA12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进货检验合格率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277A51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99.3%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3A4C82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99.5%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11446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99.9%</w:t>
            </w:r>
          </w:p>
        </w:tc>
      </w:tr>
      <w:tr w14:paraId="1E67E0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907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BB92DB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产品交付及时率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1632ED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5962A8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1030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4C2D6E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</w:tbl>
    <w:p w14:paraId="394416A4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公司产品和服务获得市场高度认可，获评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国家高新技术企业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、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国家级专精特新“小巨人”企业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、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国家5G工厂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、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省级智能车间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等荣誉称号。</w:t>
      </w:r>
    </w:p>
    <w:p w14:paraId="5ED7BA3C">
      <w:pPr>
        <w:pStyle w:val="4"/>
        <w:widowControl/>
        <w:numPr>
          <w:ilvl w:val="0"/>
          <w:numId w:val="10"/>
        </w:numPr>
        <w:shd w:val="clear" w:fill="FFFFFF"/>
        <w:ind w:left="0" w:leftChars="0" w:firstLine="0" w:firstLineChars="0"/>
        <w:rPr>
          <w:b w:val="0"/>
        </w:rPr>
      </w:pPr>
      <w:bookmarkStart w:id="43" w:name="_Toc8770"/>
      <w:r>
        <w:t>顾客服务与投诉处理</w:t>
      </w:r>
      <w:bookmarkEnd w:id="43"/>
    </w:p>
    <w:p w14:paraId="53213070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公司建立完善的顾客投诉处理机制：</w:t>
      </w:r>
    </w:p>
    <w:tbl>
      <w:tblPr>
        <w:tblStyle w:val="20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555"/>
        <w:gridCol w:w="1628"/>
        <w:gridCol w:w="1628"/>
        <w:gridCol w:w="1628"/>
      </w:tblGrid>
      <w:tr w14:paraId="444DC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106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900E83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964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D631C1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964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4314B0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964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3D6D84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527457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06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3D8883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顾客投诉处理及时率</w:t>
            </w:r>
          </w:p>
        </w:tc>
        <w:tc>
          <w:tcPr>
            <w:tcW w:w="964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AD1EEE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964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CEA731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964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40D0BF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</w:tbl>
    <w:p w14:paraId="4CBD3EA4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公司通过高层走访、满意度调查、售后服务等多种渠道了解顾客需求。近三年顾客满意度持续提升：</w:t>
      </w:r>
    </w:p>
    <w:tbl>
      <w:tblPr>
        <w:tblStyle w:val="2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04"/>
        <w:gridCol w:w="2078"/>
        <w:gridCol w:w="2078"/>
        <w:gridCol w:w="2078"/>
      </w:tblGrid>
      <w:tr w14:paraId="4AFCA0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306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A5600A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指标</w:t>
            </w:r>
          </w:p>
        </w:tc>
        <w:tc>
          <w:tcPr>
            <w:tcW w:w="1231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EF4EBC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1231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3B8133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1231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B08975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5C38F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06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077220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顾客满意度</w:t>
            </w:r>
          </w:p>
        </w:tc>
        <w:tc>
          <w:tcPr>
            <w:tcW w:w="123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BC777F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93.6%</w:t>
            </w:r>
          </w:p>
        </w:tc>
        <w:tc>
          <w:tcPr>
            <w:tcW w:w="123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AAE4B8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94.88%</w:t>
            </w:r>
          </w:p>
        </w:tc>
        <w:tc>
          <w:tcPr>
            <w:tcW w:w="123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AEB4C3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95.06%</w:t>
            </w:r>
          </w:p>
        </w:tc>
      </w:tr>
      <w:tr w14:paraId="543B0B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06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832156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顾客忠诚度</w:t>
            </w:r>
          </w:p>
        </w:tc>
        <w:tc>
          <w:tcPr>
            <w:tcW w:w="1231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481863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89.93%</w:t>
            </w:r>
          </w:p>
        </w:tc>
        <w:tc>
          <w:tcPr>
            <w:tcW w:w="1231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8FB8BB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90.67%</w:t>
            </w:r>
          </w:p>
        </w:tc>
        <w:tc>
          <w:tcPr>
            <w:tcW w:w="1231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86C8DA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92.65%</w:t>
            </w:r>
          </w:p>
        </w:tc>
      </w:tr>
    </w:tbl>
    <w:p w14:paraId="67983416">
      <w:pPr>
        <w:pStyle w:val="4"/>
        <w:widowControl/>
        <w:numPr>
          <w:ilvl w:val="0"/>
          <w:numId w:val="10"/>
        </w:numPr>
        <w:shd w:val="clear" w:fill="FFFFFF"/>
        <w:ind w:left="0" w:leftChars="0" w:firstLine="0" w:firstLineChars="0"/>
        <w:rPr>
          <w:b w:val="0"/>
        </w:rPr>
      </w:pPr>
      <w:bookmarkStart w:id="44" w:name="_Toc9035"/>
      <w:r>
        <w:t>产品召回与应急机制</w:t>
      </w:r>
      <w:bookmarkEnd w:id="44"/>
    </w:p>
    <w:p w14:paraId="0B2256B3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公司制定了《产品召回工作程序》，每两年进行一次模拟召回，确保召回过程的有效性。公司通过收集网络、媒体、市场人员反馈等渠道的产品质量安全信息，及时采取应急措施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fldChar w:fldCharType="begin"/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instrText xml:space="preserve"> HYPERLINK "https://hxccc.org/uploads/allimg/20250828/1-250RQ64642526.pdf" \l "1#1" \t "https://chat.deepseek.com/a/chat/s/_blank" </w:instrTex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fldChar w:fldCharType="separate"/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fldChar w:fldCharType="end"/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。</w:t>
      </w:r>
    </w:p>
    <w:p w14:paraId="72B070F1">
      <w:pPr>
        <w:pStyle w:val="4"/>
        <w:widowControl/>
        <w:numPr>
          <w:ilvl w:val="0"/>
          <w:numId w:val="10"/>
        </w:numPr>
        <w:shd w:val="clear" w:fill="FFFFFF"/>
        <w:ind w:left="0" w:leftChars="0" w:firstLine="0" w:firstLineChars="0"/>
        <w:rPr>
          <w:b w:val="0"/>
        </w:rPr>
      </w:pPr>
      <w:bookmarkStart w:id="45" w:name="_Toc21523"/>
      <w:r>
        <w:t>消费者信息保护</w:t>
      </w:r>
      <w:bookmarkEnd w:id="45"/>
    </w:p>
    <w:p w14:paraId="313557A6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制定《保密管理制度》等保障数据的保密性。公司对文件查看采取分级制管理，秘密级以上的文件只有特定人员才能查看。对于重要部门采取禁外网、禁USB等移动设备来加强保密性，并对相应人员签订保密协议。</w:t>
      </w:r>
    </w:p>
    <w:p w14:paraId="4246EF4B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46" w:name="_Toc7108"/>
      <w:r>
        <w:t>社区参与和发展</w:t>
      </w:r>
      <w:bookmarkEnd w:id="46"/>
    </w:p>
    <w:p w14:paraId="44909409">
      <w:pPr>
        <w:pStyle w:val="4"/>
        <w:widowControl/>
        <w:numPr>
          <w:ilvl w:val="0"/>
          <w:numId w:val="11"/>
        </w:numPr>
        <w:shd w:val="clear" w:fill="FFFFFF"/>
        <w:ind w:left="0" w:leftChars="0" w:firstLine="0" w:firstLineChars="0"/>
        <w:rPr>
          <w:b w:val="0"/>
        </w:rPr>
      </w:pPr>
      <w:bookmarkStart w:id="47" w:name="_Toc5504"/>
      <w:r>
        <w:t>公益支持战略</w:t>
      </w:r>
      <w:bookmarkEnd w:id="47"/>
    </w:p>
    <w:p w14:paraId="2964C50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公司将积极参与社会公益事业作为履行社会责任的重要途径，重点在“帮困助学、扶贫济困、灾后援建”等领域开展社会公益事业。</w:t>
      </w:r>
    </w:p>
    <w:p w14:paraId="4E80BACC">
      <w:pPr>
        <w:pStyle w:val="4"/>
        <w:widowControl/>
        <w:numPr>
          <w:ilvl w:val="0"/>
          <w:numId w:val="11"/>
        </w:numPr>
        <w:shd w:val="clear" w:fill="FFFFFF"/>
        <w:ind w:left="0" w:leftChars="0" w:firstLine="0" w:firstLineChars="0"/>
        <w:rPr>
          <w:b w:val="0"/>
        </w:rPr>
      </w:pPr>
      <w:bookmarkStart w:id="48" w:name="_Toc22799"/>
      <w:r>
        <w:t>公益投入与绩效</w:t>
      </w:r>
      <w:bookmarkEnd w:id="48"/>
    </w:p>
    <w:p w14:paraId="0E641164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近三年公司累计公益捐赠30余万元：</w:t>
      </w:r>
    </w:p>
    <w:tbl>
      <w:tblPr>
        <w:tblStyle w:val="20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25"/>
        <w:gridCol w:w="5808"/>
        <w:gridCol w:w="1706"/>
      </w:tblGrid>
      <w:tr w14:paraId="3EFC9A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548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06349D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年份</w:t>
            </w:r>
          </w:p>
        </w:tc>
        <w:tc>
          <w:tcPr>
            <w:tcW w:w="3440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E41992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主要支持领域</w:t>
            </w:r>
          </w:p>
        </w:tc>
        <w:tc>
          <w:tcPr>
            <w:tcW w:w="1010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DF615F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金额（万元）</w:t>
            </w:r>
          </w:p>
        </w:tc>
      </w:tr>
      <w:tr w14:paraId="189FB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4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5B8453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2021年</w:t>
            </w:r>
          </w:p>
        </w:tc>
        <w:tc>
          <w:tcPr>
            <w:tcW w:w="344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A0DEBB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敬老院（0.5万）、扶贫（2万）、教育基金（1万）</w:t>
            </w:r>
          </w:p>
        </w:tc>
        <w:tc>
          <w:tcPr>
            <w:tcW w:w="101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1A4648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9.5</w:t>
            </w:r>
          </w:p>
        </w:tc>
      </w:tr>
      <w:tr w14:paraId="28883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4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60F9F4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2022年</w:t>
            </w:r>
          </w:p>
        </w:tc>
        <w:tc>
          <w:tcPr>
            <w:tcW w:w="344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EE47F8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慈善（2万）、扶贫（2万）、教育基金（2万）</w:t>
            </w:r>
          </w:p>
        </w:tc>
        <w:tc>
          <w:tcPr>
            <w:tcW w:w="1010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47096B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</w:tr>
      <w:tr w14:paraId="6BAB9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48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9CE204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3440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2FF924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慈善（5万）、扶贫（4万）、教育基金（2万）</w:t>
            </w:r>
          </w:p>
        </w:tc>
        <w:tc>
          <w:tcPr>
            <w:tcW w:w="1010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3C520C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</w:tr>
    </w:tbl>
    <w:p w14:paraId="4C0C0692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202</w:t>
      </w:r>
      <w:r>
        <w:rPr>
          <w:rFonts w:hint="eastAsia" w:cs="Times New Roman"/>
          <w:b/>
          <w:i w:val="0"/>
          <w:color w:val="0F1115"/>
          <w:sz w:val="24"/>
          <w:szCs w:val="24"/>
          <w:lang w:val="en-US" w:eastAsia="zh-CN"/>
        </w:rPr>
        <w:t>6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年公益支持重点领域及预算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【7.7.5】：</w:t>
      </w:r>
    </w:p>
    <w:tbl>
      <w:tblPr>
        <w:tblStyle w:val="20"/>
        <w:tblW w:w="504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88"/>
        <w:gridCol w:w="4475"/>
        <w:gridCol w:w="2451"/>
      </w:tblGrid>
      <w:tr w14:paraId="2E94A0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2" w:hRule="atLeast"/>
          <w:tblHeader/>
        </w:trPr>
        <w:tc>
          <w:tcPr>
            <w:tcW w:w="932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AC3A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公益领域</w:t>
            </w:r>
          </w:p>
        </w:tc>
        <w:tc>
          <w:tcPr>
            <w:tcW w:w="2627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0F12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项目</w:t>
            </w:r>
          </w:p>
        </w:tc>
        <w:tc>
          <w:tcPr>
            <w:tcW w:w="1439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B5FFA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预算（万元）</w:t>
            </w:r>
          </w:p>
        </w:tc>
      </w:tr>
      <w:tr w14:paraId="0DEEE5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</w:trPr>
        <w:tc>
          <w:tcPr>
            <w:tcW w:w="932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1FEFA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慈善</w:t>
            </w:r>
          </w:p>
        </w:tc>
        <w:tc>
          <w:tcPr>
            <w:tcW w:w="262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DD30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当地贫困户扶贫</w:t>
            </w:r>
          </w:p>
        </w:tc>
        <w:tc>
          <w:tcPr>
            <w:tcW w:w="143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3F88E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</w:tr>
      <w:tr w14:paraId="41D56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</w:trPr>
        <w:tc>
          <w:tcPr>
            <w:tcW w:w="932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74740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慈善</w:t>
            </w:r>
          </w:p>
        </w:tc>
        <w:tc>
          <w:tcPr>
            <w:tcW w:w="262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2BD1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敬老院</w:t>
            </w:r>
          </w:p>
        </w:tc>
        <w:tc>
          <w:tcPr>
            <w:tcW w:w="143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E407B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</w:tr>
      <w:tr w14:paraId="1F86DE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</w:trPr>
        <w:tc>
          <w:tcPr>
            <w:tcW w:w="932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5E010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慈善</w:t>
            </w:r>
          </w:p>
        </w:tc>
        <w:tc>
          <w:tcPr>
            <w:tcW w:w="262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2D20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义务献血</w:t>
            </w:r>
          </w:p>
        </w:tc>
        <w:tc>
          <w:tcPr>
            <w:tcW w:w="143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5CEB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0.5</w:t>
            </w:r>
          </w:p>
        </w:tc>
      </w:tr>
      <w:tr w14:paraId="2D24C9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</w:trPr>
        <w:tc>
          <w:tcPr>
            <w:tcW w:w="932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95AF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慈善</w:t>
            </w:r>
          </w:p>
        </w:tc>
        <w:tc>
          <w:tcPr>
            <w:tcW w:w="262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3DDC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社会援助、物资捐赠、植树</w:t>
            </w:r>
          </w:p>
        </w:tc>
        <w:tc>
          <w:tcPr>
            <w:tcW w:w="143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79FEB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</w:tr>
      <w:tr w14:paraId="4E96B3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</w:trPr>
        <w:tc>
          <w:tcPr>
            <w:tcW w:w="932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C92D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教育</w:t>
            </w:r>
          </w:p>
        </w:tc>
        <w:tc>
          <w:tcPr>
            <w:tcW w:w="262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C472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助学金</w:t>
            </w:r>
          </w:p>
        </w:tc>
        <w:tc>
          <w:tcPr>
            <w:tcW w:w="143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B7B37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</w:tr>
      <w:tr w14:paraId="2690AD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7" w:hRule="atLeast"/>
        </w:trPr>
        <w:tc>
          <w:tcPr>
            <w:tcW w:w="932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D8A0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文化</w:t>
            </w:r>
          </w:p>
        </w:tc>
        <w:tc>
          <w:tcPr>
            <w:tcW w:w="2627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5B53C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文化宣传及活动支持</w:t>
            </w:r>
          </w:p>
        </w:tc>
        <w:tc>
          <w:tcPr>
            <w:tcW w:w="1439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014E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</w:tr>
    </w:tbl>
    <w:p w14:paraId="2E7186C0">
      <w:pPr>
        <w:pStyle w:val="4"/>
        <w:widowControl/>
        <w:numPr>
          <w:ilvl w:val="0"/>
          <w:numId w:val="11"/>
        </w:numPr>
        <w:shd w:val="clear" w:fill="FFFFFF"/>
        <w:ind w:left="0" w:leftChars="0" w:firstLine="0" w:firstLineChars="0"/>
        <w:rPr>
          <w:b w:val="0"/>
        </w:rPr>
      </w:pPr>
      <w:bookmarkStart w:id="49" w:name="_Toc21132"/>
      <w:r>
        <w:t>社区共建与乡村振兴</w:t>
      </w:r>
      <w:bookmarkEnd w:id="49"/>
    </w:p>
    <w:p w14:paraId="685A1038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公司积极参与地方经济建设，荣获“东台市和谐企业奖章”“东台市五一劳动奖章”“东台市外贸进出口优秀企业”等荣誉。</w:t>
      </w:r>
    </w:p>
    <w:p w14:paraId="3FE3BD6D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公司总经理陈存作为市人大代表积极履职尽责，响应家乡返乡创业召唤，扎根家乡、反哺桑梓。公司组织员工参与义务献血、植树造林、慰问孤寡老人、抗疫支持等社区公益活动。</w:t>
      </w:r>
    </w:p>
    <w:p w14:paraId="409E1866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社区参与主要活动：</w:t>
      </w:r>
    </w:p>
    <w:p w14:paraId="41628443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i w:val="0"/>
          <w:color w:val="0F1115"/>
          <w:sz w:val="24"/>
          <w:szCs w:val="24"/>
        </w:rPr>
        <w:t>义务献血：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组织员工积极参与</w:t>
      </w:r>
    </w:p>
    <w:p w14:paraId="5C9CAC65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i w:val="0"/>
          <w:color w:val="0F1115"/>
          <w:sz w:val="24"/>
          <w:szCs w:val="24"/>
        </w:rPr>
        <w:t>植树造林：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员工积极参与</w:t>
      </w:r>
    </w:p>
    <w:p w14:paraId="6AE1F592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i w:val="0"/>
          <w:color w:val="0F1115"/>
          <w:sz w:val="24"/>
          <w:szCs w:val="24"/>
        </w:rPr>
        <w:t>慰问孤寡：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定期开展敬老活动</w:t>
      </w:r>
    </w:p>
    <w:p w14:paraId="6C95397B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50" w:name="_Toc22095"/>
      <w:r>
        <w:t>社会责任绩效总结</w:t>
      </w:r>
      <w:bookmarkEnd w:id="50"/>
    </w:p>
    <w:p w14:paraId="192D24F1">
      <w:pPr>
        <w:pStyle w:val="4"/>
        <w:widowControl/>
        <w:numPr>
          <w:ilvl w:val="0"/>
          <w:numId w:val="12"/>
        </w:numPr>
        <w:shd w:val="clear" w:fill="FFFFFF"/>
        <w:ind w:left="0" w:leftChars="0" w:firstLine="0" w:firstLineChars="0"/>
        <w:rPr>
          <w:b w:val="0"/>
        </w:rPr>
      </w:pPr>
      <w:bookmarkStart w:id="51" w:name="_Toc1096"/>
      <w:r>
        <w:t>关键绩效指标汇总</w:t>
      </w:r>
      <w:bookmarkEnd w:id="51"/>
    </w:p>
    <w:tbl>
      <w:tblPr>
        <w:tblStyle w:val="20"/>
        <w:tblW w:w="503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3405"/>
        <w:gridCol w:w="1253"/>
        <w:gridCol w:w="1253"/>
        <w:gridCol w:w="1253"/>
      </w:tblGrid>
      <w:tr w14:paraId="11144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784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A4E8FA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维度</w:t>
            </w:r>
          </w:p>
        </w:tc>
        <w:tc>
          <w:tcPr>
            <w:tcW w:w="2003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2C2036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关键指标</w:t>
            </w:r>
          </w:p>
        </w:tc>
        <w:tc>
          <w:tcPr>
            <w:tcW w:w="737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6EE819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2023年</w:t>
            </w:r>
          </w:p>
        </w:tc>
        <w:tc>
          <w:tcPr>
            <w:tcW w:w="737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BB4BBB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2024年</w:t>
            </w:r>
          </w:p>
        </w:tc>
        <w:tc>
          <w:tcPr>
            <w:tcW w:w="737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A9979D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2025年</w:t>
            </w:r>
          </w:p>
        </w:tc>
      </w:tr>
      <w:tr w14:paraId="253D9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restar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0B047D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治理</w:t>
            </w: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E63BFD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违纪违法事件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34EFB4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2F00FC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9B2EB0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  <w:tr w14:paraId="6B226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DC8165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EABEAC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外部审计意见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6D1DE5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无保留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F1CC82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无保留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C58288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无保留</w:t>
            </w:r>
          </w:p>
        </w:tc>
      </w:tr>
      <w:tr w14:paraId="6470D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restar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0124B6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人权与劳工</w:t>
            </w: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6B97B4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五险一金缴纳率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D08A57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8398FD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F3EC4C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  <w:tr w14:paraId="33902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A89BAB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6781CC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关键员工流失率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CD0DD2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1.3%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AF6934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0.5%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E1787D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0.4%</w:t>
            </w:r>
          </w:p>
        </w:tc>
      </w:tr>
      <w:tr w14:paraId="01E19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B245F5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582750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员工满意度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76DD3E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67.21%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831740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68.69%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0D1A99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70.47%</w:t>
            </w:r>
          </w:p>
        </w:tc>
      </w:tr>
      <w:tr w14:paraId="61C70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3300BE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1C70F0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工伤事故数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DD12DF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5EED22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0575F0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  <w:tr w14:paraId="6113D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45377D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6F8F8C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人均培训时间（小时）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9F600D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4FEFBF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604650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140</w:t>
            </w:r>
          </w:p>
        </w:tc>
      </w:tr>
      <w:tr w14:paraId="62A1B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restar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E9B405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环境</w:t>
            </w: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AAA43A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环境事故数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4568D0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16E696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729488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  <w:tr w14:paraId="1741A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4286AE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C02A57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万元产值综合能耗（吨标煤）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FC29E0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0.045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EF6332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0.043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FA350D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0.039</w:t>
            </w:r>
          </w:p>
        </w:tc>
      </w:tr>
      <w:tr w14:paraId="38248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FE83FC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00BBB0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三废排放达标率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BFF11F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B067FA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B49503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  <w:tr w14:paraId="01FC5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restar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ED76CF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消费者</w:t>
            </w: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4879C8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顾客投诉处理及时率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7ADEBE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3436C1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3083EE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100%</w:t>
            </w:r>
          </w:p>
        </w:tc>
      </w:tr>
      <w:tr w14:paraId="60244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515CEB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03DF6B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顾客满意度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A399EC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93.6%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D6432E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94.88%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25090F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95.06%</w:t>
            </w:r>
          </w:p>
        </w:tc>
      </w:tr>
      <w:tr w14:paraId="32D77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vMerge w:val="continue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A2A3F4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6329F9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产品一次生产合格率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3B6049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96%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9E4CBD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98%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4D4815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99%</w:t>
            </w:r>
          </w:p>
        </w:tc>
      </w:tr>
      <w:tr w14:paraId="51C57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84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921802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社区</w:t>
            </w:r>
          </w:p>
        </w:tc>
        <w:tc>
          <w:tcPr>
            <w:tcW w:w="2003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AF367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公益支持资金（万元）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FF83FB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9.5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692BB2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737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F3B8353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</w:tr>
    </w:tbl>
    <w:p w14:paraId="310F3F0C">
      <w:pPr>
        <w:pStyle w:val="4"/>
        <w:widowControl/>
        <w:numPr>
          <w:ilvl w:val="0"/>
          <w:numId w:val="12"/>
        </w:numPr>
        <w:shd w:val="clear" w:fill="FFFFFF"/>
        <w:ind w:left="0" w:leftChars="0" w:firstLine="0" w:firstLineChars="0"/>
      </w:pPr>
      <w:bookmarkStart w:id="52" w:name="_Toc28866"/>
      <w:r>
        <w:t>社会责任荣誉</w:t>
      </w:r>
      <w:bookmarkEnd w:id="52"/>
    </w:p>
    <w:p w14:paraId="4FEBDA36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auto"/>
        <w:rPr>
          <w:rFonts w:hint="eastAsia" w:cs="Times New Roman"/>
          <w:i w:val="0"/>
          <w:color w:val="0F11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国家级专精特新“小巨人”企业</w:t>
      </w:r>
      <w:r>
        <w:rPr>
          <w:rFonts w:hint="eastAsia" w:cs="Times New Roman"/>
          <w:b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国家5G工厂</w:t>
      </w:r>
      <w:r>
        <w:rPr>
          <w:rFonts w:hint="eastAsia" w:cs="Times New Roman"/>
          <w:b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b/>
          <w:i w:val="0"/>
          <w:color w:val="0F1115"/>
          <w:sz w:val="24"/>
          <w:szCs w:val="24"/>
        </w:rPr>
        <w:t>省级智能车间</w:t>
      </w:r>
      <w:r>
        <w:rPr>
          <w:rFonts w:hint="eastAsia" w:cs="Times New Roman"/>
          <w:b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国家高新技术企业</w:t>
      </w: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盐城市瞪羚企业</w:t>
      </w: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盐城市首批四星上云企业</w:t>
      </w:r>
      <w:r>
        <w:rPr>
          <w:rFonts w:hint="eastAsia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盐城市企业技术中心</w:t>
      </w: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盐城市民营企业百强</w:t>
      </w: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东台市和谐企业奖章</w:t>
      </w: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东台市五一劳动奖章</w:t>
      </w: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东台市外贸进出口优秀企业</w:t>
      </w: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t>。</w:t>
      </w:r>
    </w:p>
    <w:p w14:paraId="3365CBF5">
      <w:pPr>
        <w:pStyle w:val="12"/>
        <w:widowControl/>
        <w:rPr>
          <w:rFonts w:hint="eastAsia" w:cs="Times New Roman"/>
          <w:i w:val="0"/>
          <w:color w:val="0F1115"/>
          <w:sz w:val="24"/>
          <w:szCs w:val="24"/>
          <w:lang w:eastAsia="zh-CN"/>
        </w:rPr>
      </w:pP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drawing>
          <wp:inline distT="0" distB="0" distL="114300" distR="114300">
            <wp:extent cx="1821815" cy="1366520"/>
            <wp:effectExtent l="0" t="0" r="6985" b="5080"/>
            <wp:docPr id="5" name="图片 5" descr="d883437098d89c58b51a8e02e935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83437098d89c58b51a8e02e93565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i w:val="0"/>
          <w:color w:val="0F1115"/>
          <w:sz w:val="24"/>
          <w:szCs w:val="24"/>
          <w:lang w:eastAsia="zh-CN"/>
        </w:rPr>
        <w:drawing>
          <wp:inline distT="0" distB="0" distL="114300" distR="114300">
            <wp:extent cx="2103755" cy="1390650"/>
            <wp:effectExtent l="0" t="0" r="1270" b="0"/>
            <wp:docPr id="6" name="图片 6" descr="94d6fde842cfa142b1a9663976079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4d6fde842cfa142b1a9663976079dd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3B06">
      <w:pPr>
        <w:pStyle w:val="3"/>
        <w:widowControl/>
        <w:numPr>
          <w:ilvl w:val="0"/>
          <w:numId w:val="1"/>
        </w:numPr>
        <w:shd w:val="clear" w:fill="FFFFFF"/>
        <w:topLinePunct w:val="0"/>
        <w:ind w:left="0" w:leftChars="0" w:firstLine="0" w:firstLineChars="0"/>
        <w:rPr>
          <w:rFonts w:hint="eastAsia" w:ascii="黑体" w:hAnsi="黑体" w:eastAsia="黑体" w:cs="黑体"/>
          <w:b w:val="0"/>
        </w:rPr>
      </w:pPr>
      <w:bookmarkStart w:id="53" w:name="_Toc8590"/>
      <w:r>
        <w:t>持续改进计划</w:t>
      </w:r>
      <w:bookmarkEnd w:id="53"/>
    </w:p>
    <w:p w14:paraId="14C0B125">
      <w:pPr>
        <w:pStyle w:val="12"/>
        <w:widowControl/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</w:pPr>
      <w:r>
        <w:rPr>
          <w:rFonts w:ascii="Times New Roman" w:hAnsi="Times New Roman" w:eastAsia="宋体" w:cs="Times New Roman"/>
          <w:i w:val="0"/>
          <w:color w:val="0F1115"/>
          <w:sz w:val="24"/>
          <w:szCs w:val="24"/>
        </w:rPr>
        <w:t>依据GB/T 39604—2020第10章“改进”的要求，公司将在以下方面持续推进社会责任工作：</w:t>
      </w:r>
    </w:p>
    <w:tbl>
      <w:tblPr>
        <w:tblStyle w:val="2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36"/>
        <w:gridCol w:w="1292"/>
        <w:gridCol w:w="3852"/>
        <w:gridCol w:w="1089"/>
        <w:gridCol w:w="1772"/>
      </w:tblGrid>
      <w:tr w14:paraId="21349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58" w:type="pct"/>
            <w:tcBorders>
              <w:top w:val="single" w:color="4874CB" w:sz="12" w:space="0"/>
              <w:left w:val="single" w:color="4874CB" w:sz="12" w:space="0"/>
              <w:bottom w:val="single" w:color="4874CB" w:sz="4" w:space="0"/>
              <w:right w:val="single" w:color="4874CB" w:sz="4" w:space="0"/>
              <w:tl2br w:val="nil"/>
            </w:tcBorders>
            <w:shd w:val="clear" w:color="auto" w:fill="91ACE0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4BDB5F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765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917E0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改进方向</w:t>
            </w:r>
          </w:p>
        </w:tc>
        <w:tc>
          <w:tcPr>
            <w:tcW w:w="2281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09640D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具体措施</w:t>
            </w:r>
          </w:p>
        </w:tc>
        <w:tc>
          <w:tcPr>
            <w:tcW w:w="645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CBC08B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责任部门</w:t>
            </w:r>
          </w:p>
        </w:tc>
        <w:tc>
          <w:tcPr>
            <w:tcW w:w="1049" w:type="pct"/>
            <w:tcBorders>
              <w:top w:val="single" w:color="4874CB" w:sz="12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91ACE0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56F5611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时间节点</w:t>
            </w:r>
          </w:p>
        </w:tc>
      </w:tr>
      <w:tr w14:paraId="53612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93882E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6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2E6621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深化社会责任管理体系建设</w:t>
            </w:r>
          </w:p>
        </w:tc>
        <w:tc>
          <w:tcPr>
            <w:tcW w:w="228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6396FF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进一步完善社会责任管理体系，将社会责任更深入地融入各层级、各环节的日常运营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u w:val="none"/>
                <w:bdr w:val="single" w:color="auto" w:sz="8" w:space="0"/>
                <w:lang w:val="en-US" w:eastAsia="zh-CN" w:bidi="ar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u w:val="none"/>
                <w:bdr w:val="single" w:color="auto" w:sz="8" w:space="0"/>
                <w:lang w:val="en-US" w:eastAsia="zh-CN" w:bidi="ar"/>
              </w:rPr>
              <w:instrText xml:space="preserve"> HYPERLINK "https://www.guifanku.com/910918.html" \t "https://chat.deepseek.com/a/chat/s/_blank" </w:instrTex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u w:val="none"/>
                <w:bdr w:val="single" w:color="auto" w:sz="8" w:space="0"/>
                <w:lang w:val="en-US" w:eastAsia="zh-CN" w:bidi="ar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u w:val="none"/>
                <w:bdr w:val="single" w:color="auto" w:sz="8" w:space="0"/>
                <w:lang w:val="en-US" w:eastAsia="zh-CN" w:bidi="ar"/>
              </w:rPr>
              <w:fldChar w:fldCharType="end"/>
            </w:r>
          </w:p>
        </w:tc>
        <w:tc>
          <w:tcPr>
            <w:tcW w:w="64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B44886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总经办</w:t>
            </w:r>
          </w:p>
        </w:tc>
        <w:tc>
          <w:tcPr>
            <w:tcW w:w="10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BB4BEE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2026-2027年</w:t>
            </w:r>
          </w:p>
        </w:tc>
      </w:tr>
      <w:tr w14:paraId="269F8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10F03BF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6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19F258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加强环境绩效</w:t>
            </w:r>
          </w:p>
        </w:tc>
        <w:tc>
          <w:tcPr>
            <w:tcW w:w="228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3CE21C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持续推进节能减排技术改造，降低万元产值综合能耗</w:t>
            </w:r>
          </w:p>
        </w:tc>
        <w:tc>
          <w:tcPr>
            <w:tcW w:w="64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A6288D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生产部、设备部</w:t>
            </w:r>
          </w:p>
        </w:tc>
        <w:tc>
          <w:tcPr>
            <w:tcW w:w="10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E48B76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年度持续</w:t>
            </w:r>
          </w:p>
        </w:tc>
      </w:tr>
      <w:tr w14:paraId="0EE1CE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25EA55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6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D0212F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提升员工发展</w:t>
            </w:r>
          </w:p>
        </w:tc>
        <w:tc>
          <w:tcPr>
            <w:tcW w:w="228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C45BBF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加大人才引进和培养力度，完善职业发展通道，持续提升员工满意度</w:t>
            </w:r>
          </w:p>
        </w:tc>
        <w:tc>
          <w:tcPr>
            <w:tcW w:w="64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79BD4B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人事部</w:t>
            </w:r>
          </w:p>
        </w:tc>
        <w:tc>
          <w:tcPr>
            <w:tcW w:w="10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2D44B4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年度持续</w:t>
            </w:r>
          </w:p>
        </w:tc>
      </w:tr>
      <w:tr w14:paraId="21E43F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41E5E5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6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81795F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扩大公益投入</w:t>
            </w:r>
          </w:p>
        </w:tc>
        <w:tc>
          <w:tcPr>
            <w:tcW w:w="228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9A77F3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保持公益投入逐年增长，拓展公益支持领域</w:t>
            </w:r>
          </w:p>
        </w:tc>
        <w:tc>
          <w:tcPr>
            <w:tcW w:w="64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CDD181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行政人事部</w:t>
            </w:r>
          </w:p>
        </w:tc>
        <w:tc>
          <w:tcPr>
            <w:tcW w:w="10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5AE1C1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年度持续</w:t>
            </w:r>
          </w:p>
        </w:tc>
      </w:tr>
      <w:tr w14:paraId="042FB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FFFE89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6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FC6827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强化供应链社会责任</w:t>
            </w:r>
          </w:p>
        </w:tc>
        <w:tc>
          <w:tcPr>
            <w:tcW w:w="228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339F96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推动供应商共同践行社会责任，共建可持续供应链</w:t>
            </w:r>
          </w:p>
        </w:tc>
        <w:tc>
          <w:tcPr>
            <w:tcW w:w="64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75C1AB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采购部</w:t>
            </w:r>
          </w:p>
        </w:tc>
        <w:tc>
          <w:tcPr>
            <w:tcW w:w="10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34678B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2026-2027年</w:t>
            </w:r>
          </w:p>
        </w:tc>
      </w:tr>
      <w:tr w14:paraId="11BD2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8" w:type="pct"/>
            <w:tcBorders>
              <w:top w:val="single" w:color="4874CB" w:sz="4" w:space="0"/>
              <w:left w:val="single" w:color="4874CB" w:sz="12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EBCC38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6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0F2A84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加强利益相关方沟通</w:t>
            </w:r>
          </w:p>
        </w:tc>
        <w:tc>
          <w:tcPr>
            <w:tcW w:w="2281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999D06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完善利益相关方参与机制，定期开展社会责任绩效披露</w:t>
            </w:r>
          </w:p>
        </w:tc>
        <w:tc>
          <w:tcPr>
            <w:tcW w:w="645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3E8797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总经办</w:t>
            </w:r>
          </w:p>
        </w:tc>
        <w:tc>
          <w:tcPr>
            <w:tcW w:w="1049" w:type="pct"/>
            <w:tcBorders>
              <w:top w:val="single" w:color="4874CB" w:sz="4" w:space="0"/>
              <w:left w:val="single" w:color="4874CB" w:sz="4" w:space="0"/>
              <w:bottom w:val="single" w:color="4874CB" w:sz="4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E77AAB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年度持续</w:t>
            </w:r>
          </w:p>
        </w:tc>
      </w:tr>
      <w:tr w14:paraId="5E5A45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8" w:type="pct"/>
            <w:tcBorders>
              <w:top w:val="single" w:color="4874CB" w:sz="4" w:space="0"/>
              <w:left w:val="single" w:color="4874CB" w:sz="12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BB212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65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CD74787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提升产品绿色属性</w:t>
            </w:r>
          </w:p>
        </w:tc>
        <w:tc>
          <w:tcPr>
            <w:tcW w:w="2281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7DEBC2D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研发更高效率、更低能耗的光伏产品</w:t>
            </w:r>
          </w:p>
        </w:tc>
        <w:tc>
          <w:tcPr>
            <w:tcW w:w="645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C53CC0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研发部</w:t>
            </w:r>
          </w:p>
        </w:tc>
        <w:tc>
          <w:tcPr>
            <w:tcW w:w="1049" w:type="pct"/>
            <w:tcBorders>
              <w:top w:val="single" w:color="4874CB" w:sz="4" w:space="0"/>
              <w:left w:val="single" w:color="4874CB" w:sz="4" w:space="0"/>
              <w:bottom w:val="single" w:color="4874CB" w:sz="12" w:space="0"/>
              <w:right w:val="single" w:color="4874CB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5A07B7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2027-2028年</w:t>
            </w:r>
          </w:p>
        </w:tc>
      </w:tr>
    </w:tbl>
    <w:p w14:paraId="7E28A815">
      <w:pPr>
        <w:pStyle w:val="18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78A8D1B">
      <w:pPr>
        <w:pStyle w:val="18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D873686">
      <w:pPr>
        <w:pStyle w:val="18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286D0989">
      <w:pPr>
        <w:pStyle w:val="18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46E1FAF8">
      <w:pPr>
        <w:pStyle w:val="18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A777A24">
      <w:pPr>
        <w:pStyle w:val="18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F1115"/>
          <w:spacing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                        </w:t>
      </w:r>
      <w:r>
        <w:rPr>
          <w:rFonts w:hint="eastAsia" w:cs="Times New Roman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江苏澄擎新能源有限公司</w:t>
      </w:r>
    </w:p>
    <w:p w14:paraId="058E8815">
      <w:pPr>
        <w:pStyle w:val="18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0"/>
        <w:jc w:val="center"/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 w:eastAsia="zh-CN"/>
        </w:rPr>
        <w:t xml:space="preserve">                            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202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年</w:t>
      </w:r>
      <w:r>
        <w:rPr>
          <w:rFonts w:hint="eastAsia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月 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日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ar(--dsw-font-markdown-table-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ar(--dsw-font-markdown-table)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56259"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F2BF5">
    <w:pPr>
      <w:pStyle w:val="14"/>
    </w:pPr>
    <w:r>
      <w:rPr>
        <w:rFonts w:hint="eastAsia" w:ascii="Times New Roman" w:hAnsi="Times New Roman" w:cs="Times New Roman"/>
        <w:color w:val="auto"/>
        <w:kern w:val="0"/>
        <w:sz w:val="24"/>
        <w:highlight w:val="none"/>
        <w:lang w:val="en-US" w:eastAsia="zh-CN"/>
      </w:rPr>
      <w:t xml:space="preserve">                                                          </w:t>
    </w:r>
    <w:r>
      <w:rPr>
        <w:rFonts w:hint="default" w:ascii="Times New Roman" w:hAnsi="Times New Roman" w:eastAsia="宋体" w:cs="Times New Roman"/>
        <w:color w:val="auto"/>
        <w:kern w:val="0"/>
        <w:sz w:val="24"/>
        <w:highlight w:val="none"/>
        <w:lang w:eastAsia="zh-CN"/>
      </w:rPr>
      <w:drawing>
        <wp:inline distT="0" distB="0" distL="114300" distR="114300">
          <wp:extent cx="777240" cy="150495"/>
          <wp:effectExtent l="0" t="0" r="3810" b="1905"/>
          <wp:docPr id="15" name="图片 15" descr="微信图片_20240325155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微信图片_2024032515583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" cy="15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F37354"/>
    <w:multiLevelType w:val="singleLevel"/>
    <w:tmpl w:val="94F37354"/>
    <w:lvl w:ilvl="0" w:tentative="0">
      <w:start w:val="1"/>
      <w:numFmt w:val="decimal"/>
      <w:suff w:val="space"/>
      <w:lvlText w:val="7.%1"/>
      <w:lvlJc w:val="left"/>
      <w:pPr>
        <w:ind w:left="0" w:firstLine="0"/>
      </w:pPr>
      <w:rPr>
        <w:rFonts w:hint="default"/>
      </w:rPr>
    </w:lvl>
  </w:abstractNum>
  <w:abstractNum w:abstractNumId="1">
    <w:nsid w:val="9F885F7E"/>
    <w:multiLevelType w:val="singleLevel"/>
    <w:tmpl w:val="9F885F7E"/>
    <w:lvl w:ilvl="0" w:tentative="0">
      <w:start w:val="1"/>
      <w:numFmt w:val="decimal"/>
      <w:suff w:val="space"/>
      <w:lvlText w:val="4.%1"/>
      <w:lvlJc w:val="left"/>
      <w:pPr>
        <w:ind w:left="0" w:firstLine="0"/>
      </w:pPr>
      <w:rPr>
        <w:rFonts w:hint="default"/>
      </w:rPr>
    </w:lvl>
  </w:abstractNum>
  <w:abstractNum w:abstractNumId="2">
    <w:nsid w:val="AFE6A6E4"/>
    <w:multiLevelType w:val="singleLevel"/>
    <w:tmpl w:val="AFE6A6E4"/>
    <w:lvl w:ilvl="0" w:tentative="0">
      <w:start w:val="1"/>
      <w:numFmt w:val="decimal"/>
      <w:suff w:val="space"/>
      <w:lvlText w:val="5.%1"/>
      <w:lvlJc w:val="left"/>
      <w:pPr>
        <w:ind w:left="0" w:firstLine="0"/>
      </w:pPr>
      <w:rPr>
        <w:rFonts w:hint="default"/>
      </w:rPr>
    </w:lvl>
  </w:abstractNum>
  <w:abstractNum w:abstractNumId="3">
    <w:nsid w:val="C3896A64"/>
    <w:multiLevelType w:val="singleLevel"/>
    <w:tmpl w:val="C3896A64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4">
    <w:nsid w:val="D914996F"/>
    <w:multiLevelType w:val="singleLevel"/>
    <w:tmpl w:val="D914996F"/>
    <w:lvl w:ilvl="0" w:tentative="0">
      <w:start w:val="1"/>
      <w:numFmt w:val="decimal"/>
      <w:suff w:val="space"/>
      <w:lvlText w:val="1.%1"/>
      <w:lvlJc w:val="left"/>
      <w:pPr>
        <w:ind w:left="0" w:firstLine="0"/>
      </w:pPr>
      <w:rPr>
        <w:rFonts w:hint="default"/>
      </w:rPr>
    </w:lvl>
  </w:abstractNum>
  <w:abstractNum w:abstractNumId="5">
    <w:nsid w:val="FD6CACD2"/>
    <w:multiLevelType w:val="singleLevel"/>
    <w:tmpl w:val="FD6CACD2"/>
    <w:lvl w:ilvl="0" w:tentative="0">
      <w:start w:val="1"/>
      <w:numFmt w:val="decimal"/>
      <w:suff w:val="space"/>
      <w:lvlText w:val="10.%1"/>
      <w:lvlJc w:val="left"/>
      <w:pPr>
        <w:ind w:left="0" w:firstLine="0"/>
      </w:pPr>
      <w:rPr>
        <w:rFonts w:hint="default"/>
      </w:rPr>
    </w:lvl>
  </w:abstractNum>
  <w:abstractNum w:abstractNumId="6">
    <w:nsid w:val="276AC642"/>
    <w:multiLevelType w:val="singleLevel"/>
    <w:tmpl w:val="276AC642"/>
    <w:lvl w:ilvl="0" w:tentative="0">
      <w:start w:val="1"/>
      <w:numFmt w:val="decimal"/>
      <w:suff w:val="space"/>
      <w:lvlText w:val="11.%1"/>
      <w:lvlJc w:val="left"/>
      <w:pPr>
        <w:ind w:left="0" w:firstLine="0"/>
      </w:pPr>
      <w:rPr>
        <w:rFonts w:hint="default"/>
      </w:rPr>
    </w:lvl>
  </w:abstractNum>
  <w:abstractNum w:abstractNumId="7">
    <w:nsid w:val="2803A8EF"/>
    <w:multiLevelType w:val="singleLevel"/>
    <w:tmpl w:val="2803A8EF"/>
    <w:lvl w:ilvl="0" w:tentative="0">
      <w:start w:val="1"/>
      <w:numFmt w:val="decimal"/>
      <w:suff w:val="space"/>
      <w:lvlText w:val="2.%1"/>
      <w:lvlJc w:val="left"/>
      <w:pPr>
        <w:ind w:left="0" w:firstLine="0"/>
      </w:pPr>
      <w:rPr>
        <w:rFonts w:hint="default"/>
      </w:rPr>
    </w:lvl>
  </w:abstractNum>
  <w:abstractNum w:abstractNumId="8">
    <w:nsid w:val="67318BC5"/>
    <w:multiLevelType w:val="singleLevel"/>
    <w:tmpl w:val="67318BC5"/>
    <w:lvl w:ilvl="0" w:tentative="0">
      <w:start w:val="1"/>
      <w:numFmt w:val="decimal"/>
      <w:suff w:val="space"/>
      <w:lvlText w:val="8.%1"/>
      <w:lvlJc w:val="left"/>
      <w:pPr>
        <w:ind w:left="0" w:firstLine="0"/>
      </w:pPr>
      <w:rPr>
        <w:rFonts w:hint="default"/>
      </w:rPr>
    </w:lvl>
  </w:abstractNum>
  <w:abstractNum w:abstractNumId="9">
    <w:nsid w:val="68896A93"/>
    <w:multiLevelType w:val="singleLevel"/>
    <w:tmpl w:val="68896A93"/>
    <w:lvl w:ilvl="0" w:tentative="0">
      <w:start w:val="1"/>
      <w:numFmt w:val="decimal"/>
      <w:suff w:val="space"/>
      <w:lvlText w:val="6.%1"/>
      <w:lvlJc w:val="left"/>
      <w:pPr>
        <w:ind w:left="0" w:firstLine="0"/>
      </w:pPr>
      <w:rPr>
        <w:rFonts w:hint="default"/>
      </w:rPr>
    </w:lvl>
  </w:abstractNum>
  <w:abstractNum w:abstractNumId="10">
    <w:nsid w:val="6DE79A1B"/>
    <w:multiLevelType w:val="singleLevel"/>
    <w:tmpl w:val="6DE79A1B"/>
    <w:lvl w:ilvl="0" w:tentative="0">
      <w:start w:val="1"/>
      <w:numFmt w:val="decimal"/>
      <w:suff w:val="space"/>
      <w:lvlText w:val="3.%1"/>
      <w:lvlJc w:val="left"/>
      <w:pPr>
        <w:ind w:left="0" w:firstLine="0"/>
      </w:pPr>
      <w:rPr>
        <w:rFonts w:hint="default"/>
      </w:rPr>
    </w:lvl>
  </w:abstractNum>
  <w:abstractNum w:abstractNumId="11">
    <w:nsid w:val="6EC6CA3A"/>
    <w:multiLevelType w:val="singleLevel"/>
    <w:tmpl w:val="6EC6CA3A"/>
    <w:lvl w:ilvl="0" w:tentative="0">
      <w:start w:val="1"/>
      <w:numFmt w:val="decimal"/>
      <w:suff w:val="space"/>
      <w:lvlText w:val="9.%1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0"/>
  </w:num>
  <w:num w:numId="9">
    <w:abstractNumId w:val="8"/>
  </w:num>
  <w:num w:numId="10">
    <w:abstractNumId w:val="1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373D8A"/>
    <w:rsid w:val="12902F13"/>
    <w:rsid w:val="171C08BB"/>
    <w:rsid w:val="515E3701"/>
    <w:rsid w:val="5DF21546"/>
    <w:rsid w:val="67D6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4"/>
      <w:lang w:val="en-US" w:eastAsia="zh-CN" w:bidi="ar-SA"/>
    </w:rPr>
  </w:style>
  <w:style w:type="paragraph" w:styleId="3">
    <w:name w:val="heading 1"/>
    <w:next w:val="1"/>
    <w:qFormat/>
    <w:uiPriority w:val="0"/>
    <w:pPr>
      <w:widowControl w:val="0"/>
      <w:adjustRightInd w:val="0"/>
      <w:spacing w:before="320" w:line="300" w:lineRule="auto"/>
      <w:jc w:val="both"/>
      <w:outlineLvl w:val="0"/>
    </w:pPr>
    <w:rPr>
      <w:rFonts w:ascii="Times New Roman" w:hAnsi="Times New Roman" w:eastAsia="黑体" w:cs="Times New Roman"/>
      <w:color w:val="000000"/>
      <w:kern w:val="44"/>
      <w:sz w:val="32"/>
      <w:szCs w:val="44"/>
      <w:lang w:bidi="ar-SA"/>
    </w:rPr>
  </w:style>
  <w:style w:type="paragraph" w:styleId="4">
    <w:name w:val="heading 2"/>
    <w:next w:val="1"/>
    <w:unhideWhenUsed/>
    <w:qFormat/>
    <w:uiPriority w:val="0"/>
    <w:pPr>
      <w:widowControl w:val="0"/>
      <w:adjustRightInd w:val="0"/>
      <w:spacing w:before="280" w:line="300" w:lineRule="auto"/>
      <w:jc w:val="both"/>
      <w:outlineLvl w:val="1"/>
    </w:pPr>
    <w:rPr>
      <w:rFonts w:ascii="Times New Roman" w:hAnsi="Times New Roman" w:eastAsia="黑体" w:cs="Times New Roman"/>
      <w:kern w:val="2"/>
      <w:sz w:val="30"/>
      <w:szCs w:val="32"/>
      <w:lang w:bidi="ar-SA"/>
    </w:rPr>
  </w:style>
  <w:style w:type="paragraph" w:styleId="5">
    <w:name w:val="heading 3"/>
    <w:next w:val="1"/>
    <w:semiHidden/>
    <w:unhideWhenUsed/>
    <w:qFormat/>
    <w:uiPriority w:val="0"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ascii="Times New Roman" w:hAnsi="Times New Roman" w:eastAsia="黑体" w:cs="Times New Roman"/>
      <w:kern w:val="2"/>
      <w:sz w:val="30"/>
      <w:szCs w:val="24"/>
      <w:lang w:bidi="ar-SA"/>
    </w:rPr>
  </w:style>
  <w:style w:type="paragraph" w:styleId="6">
    <w:name w:val="heading 4"/>
    <w:next w:val="1"/>
    <w:semiHidden/>
    <w:unhideWhenUsed/>
    <w:qFormat/>
    <w:uiPriority w:val="0"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7">
    <w:name w:val="heading 5"/>
    <w:next w:val="1"/>
    <w:semiHidden/>
    <w:unhideWhenUsed/>
    <w:qFormat/>
    <w:uiPriority w:val="0"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8">
    <w:name w:val="heading 6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ascii="Times New Roman" w:hAnsi="Times New Roman" w:eastAsia="黑体" w:cs="Times New Roman"/>
      <w:bCs/>
      <w:kern w:val="2"/>
      <w:sz w:val="28"/>
      <w:szCs w:val="24"/>
      <w:lang w:bidi="ar-SA"/>
    </w:rPr>
  </w:style>
  <w:style w:type="paragraph" w:styleId="9">
    <w:name w:val="heading 7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ascii="Times New Roman" w:hAnsi="Times New Roman" w:eastAsia="黑体" w:cs="Times New Roman"/>
      <w:bCs/>
      <w:kern w:val="2"/>
      <w:sz w:val="24"/>
      <w:szCs w:val="24"/>
      <w:lang w:bidi="ar-SA"/>
    </w:rPr>
  </w:style>
  <w:style w:type="paragraph" w:styleId="10">
    <w:name w:val="heading 8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ascii="Times New Roman" w:hAnsi="Times New Roman" w:eastAsia="黑体" w:cs="Times New Roman"/>
      <w:kern w:val="2"/>
      <w:sz w:val="24"/>
      <w:szCs w:val="24"/>
      <w:lang w:bidi="ar-SA"/>
    </w:rPr>
  </w:style>
  <w:style w:type="paragraph" w:styleId="11">
    <w:name w:val="heading 9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ascii="Times New Roman" w:hAnsi="Times New Roman" w:eastAsia="黑体" w:cs="Times New Roman"/>
      <w:kern w:val="2"/>
      <w:sz w:val="21"/>
      <w:szCs w:val="21"/>
      <w:lang w:bidi="ar-SA"/>
    </w:rPr>
  </w:style>
  <w:style w:type="character" w:default="1" w:styleId="22">
    <w:name w:val="Default Paragraph Font"/>
    <w:semiHidden/>
    <w:qFormat/>
    <w:uiPriority w:val="0"/>
  </w:style>
  <w:style w:type="table" w:default="1" w:styleId="2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qFormat/>
    <w:uiPriority w:val="34"/>
    <w:pPr>
      <w:widowControl w:val="0"/>
      <w:autoSpaceDE w:val="0"/>
      <w:autoSpaceDN w:val="0"/>
      <w:snapToGrid w:val="0"/>
      <w:spacing w:line="590" w:lineRule="atLeast"/>
      <w:ind w:firstLine="420" w:firstLineChars="200"/>
      <w:jc w:val="both"/>
    </w:pPr>
    <w:rPr>
      <w:rFonts w:ascii="Calibri" w:hAnsi="Calibri" w:eastAsia="方正仿宋_GBK" w:cs="Times New Roman"/>
      <w:snapToGrid w:val="0"/>
      <w:sz w:val="32"/>
      <w:lang w:val="en-US" w:eastAsia="zh-CN" w:bidi="ar-SA"/>
    </w:rPr>
  </w:style>
  <w:style w:type="paragraph" w:styleId="12">
    <w:name w:val="Body Text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1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Subtitle"/>
    <w:qFormat/>
    <w:uiPriority w:val="0"/>
    <w:pPr>
      <w:widowControl w:val="0"/>
      <w:adjustRightInd w:val="0"/>
      <w:spacing w:before="100" w:after="100" w:line="240" w:lineRule="auto"/>
      <w:jc w:val="center"/>
      <w:outlineLvl w:val="9"/>
    </w:pPr>
    <w:rPr>
      <w:rFonts w:ascii="Times New Roman" w:hAnsi="Times New Roman" w:eastAsia="黑体" w:cs="Times New Roman"/>
      <w:kern w:val="28"/>
      <w:sz w:val="32"/>
      <w:szCs w:val="24"/>
      <w:lang w:bidi="ar-SA"/>
    </w:rPr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paragraph" w:styleId="18">
    <w:name w:val="Normal (Web)"/>
    <w:basedOn w:val="1"/>
    <w:qFormat/>
    <w:uiPriority w:val="0"/>
    <w:rPr>
      <w:sz w:val="24"/>
    </w:rPr>
  </w:style>
  <w:style w:type="paragraph" w:styleId="19">
    <w:name w:val="Title"/>
    <w:qFormat/>
    <w:uiPriority w:val="0"/>
    <w:pPr>
      <w:widowControl w:val="0"/>
      <w:adjustRightInd w:val="0"/>
      <w:spacing w:before="100" w:beforeAutospacing="0" w:after="100" w:afterAutospacing="0" w:line="240" w:lineRule="auto"/>
      <w:jc w:val="center"/>
      <w:outlineLvl w:val="9"/>
    </w:pPr>
    <w:rPr>
      <w:rFonts w:ascii="Times New Roman" w:hAnsi="Times New Roman" w:eastAsia="黑体" w:cs="Times New Roman"/>
      <w:kern w:val="2"/>
      <w:sz w:val="36"/>
      <w:szCs w:val="24"/>
      <w:lang w:bidi="ar-SA"/>
    </w:rPr>
  </w:style>
  <w:style w:type="table" w:styleId="21">
    <w:name w:val="Table Grid"/>
    <w:basedOn w:val="2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Hyperlink"/>
    <w:basedOn w:val="2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1342</Words>
  <Characters>1551</Characters>
  <Lines>0</Lines>
  <Paragraphs>0</Paragraphs>
  <TotalTime>5</TotalTime>
  <ScaleCrop>false</ScaleCrop>
  <LinksUpToDate>false</LinksUpToDate>
  <CharactersWithSpaces>1772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2026-03-31T00:39:00Z</dcterms:created>
  <dc:creator>61942</dc:creator>
  <cp:lastModifiedBy>微信用户</cp:lastModifiedBy>
  <dcterms:modified xsi:type="dcterms:W3CDTF">2026-07-08T01:36:50Z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C77A4B98D50E48F8B3DF44AF48B502BF_12</vt:lpwstr>
  </property>
  <property fmtid="{D5CDD505-2E9C-101B-9397-08002B2CF9AE}" pid="4" name="KSOTemplateDocerSaveRecord">
    <vt:lpwstr>eyJoZGlkIjoiYzgxODgzZGM4MzYzZjc3NmM3NTU5MGY3NDc5NTliYjAiLCJ1c2VySWQiOiIxNTg4NjU2ODI0In0=</vt:lpwstr>
  </property>
</Properties>
</file>